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3D75" w14:textId="6F35594D" w:rsidR="006A2480" w:rsidRPr="006A2480" w:rsidRDefault="006A2480" w:rsidP="006A2480">
      <w:pPr>
        <w:spacing w:line="240" w:lineRule="auto"/>
        <w:rPr>
          <w:rFonts w:ascii="Times New Roman" w:hAnsi="Times New Roman" w:cs="Times New Roman"/>
          <w:b/>
          <w:bCs/>
          <w:color w:val="00A1BA"/>
          <w:sz w:val="36"/>
          <w:szCs w:val="36"/>
          <w:lang w:val="sv-SE"/>
        </w:rPr>
      </w:pPr>
      <w:r w:rsidRPr="006A2480">
        <w:rPr>
          <w:rFonts w:ascii="Times New Roman" w:hAnsi="Times New Roman" w:cs="Times New Roman"/>
          <w:b/>
          <w:bCs/>
          <w:color w:val="00A1BA"/>
          <w:sz w:val="36"/>
          <w:szCs w:val="36"/>
          <w:lang w:val="sv-SE"/>
        </w:rPr>
        <w:t>Ansökningsformulär/avtal för Nationell Idrottsutbildning (NIU) simning och simhopp för start höstterminen 202</w:t>
      </w:r>
      <w:r w:rsidR="003C4B0B">
        <w:rPr>
          <w:rFonts w:ascii="Times New Roman" w:hAnsi="Times New Roman" w:cs="Times New Roman"/>
          <w:b/>
          <w:bCs/>
          <w:color w:val="00A1BA"/>
          <w:sz w:val="36"/>
          <w:szCs w:val="36"/>
          <w:lang w:val="sv-SE"/>
        </w:rPr>
        <w:t>5</w:t>
      </w:r>
    </w:p>
    <w:p w14:paraId="0944F29F" w14:textId="77777777" w:rsidR="006A2480" w:rsidRPr="006A2480" w:rsidRDefault="006A2480" w:rsidP="006A2480">
      <w:pPr>
        <w:spacing w:line="240" w:lineRule="auto"/>
        <w:rPr>
          <w:rFonts w:ascii="Times New Roman" w:hAnsi="Times New Roman" w:cs="Times New Roman"/>
          <w:lang w:val="sv-SE"/>
        </w:rPr>
      </w:pPr>
      <w:r w:rsidRPr="006A2480">
        <w:rPr>
          <w:rFonts w:ascii="Times New Roman" w:hAnsi="Times New Roman" w:cs="Times New Roman"/>
          <w:lang w:val="sv-SE"/>
        </w:rPr>
        <w:t>Detta trepartsavtal gäller mellan huvudman, samarbetande förening/distrikt och Svenska Simförbundet.</w:t>
      </w:r>
    </w:p>
    <w:p w14:paraId="351C6E2B" w14:textId="77777777" w:rsidR="006A2480" w:rsidRPr="006A2480" w:rsidRDefault="006A2480" w:rsidP="006A2480">
      <w:pPr>
        <w:spacing w:line="240" w:lineRule="auto"/>
        <w:rPr>
          <w:rFonts w:ascii="Times New Roman" w:hAnsi="Times New Roman" w:cs="Times New Roman"/>
          <w:lang w:val="sv-SE"/>
        </w:rPr>
      </w:pPr>
      <w:r w:rsidRPr="006A2480">
        <w:rPr>
          <w:rFonts w:ascii="Times New Roman" w:hAnsi="Times New Roman" w:cs="Times New Roman"/>
          <w:lang w:val="sv-SE"/>
        </w:rPr>
        <w:t>Parterna förbinder sig att under avtalsperioden att följa Gymnasieförordningen (2010:2039). Avtalet gäller för fyra ansökningsomgångar med start höstterminen 2024.</w:t>
      </w:r>
    </w:p>
    <w:p w14:paraId="1EBB2823" w14:textId="77777777" w:rsidR="006A2480" w:rsidRPr="006A2480" w:rsidRDefault="006A2480" w:rsidP="006A2480">
      <w:pPr>
        <w:spacing w:line="240" w:lineRule="auto"/>
        <w:rPr>
          <w:rFonts w:ascii="Times New Roman" w:hAnsi="Times New Roman" w:cs="Times New Roman"/>
          <w:lang w:val="sv-SE"/>
        </w:rPr>
      </w:pPr>
      <w:r w:rsidRPr="006A2480">
        <w:rPr>
          <w:rFonts w:ascii="Times New Roman" w:hAnsi="Times New Roman" w:cs="Times New Roman"/>
          <w:lang w:val="sv-SE"/>
        </w:rPr>
        <w:t xml:space="preserve">Vid tillstyrkan kommer de vägledande faktorerna från Riksidrottsförbundet som finns bifogat att tas i beaktande. Reglerna för lärarlegitimation för NIU-tränare som började gälla 1 juli 2017 finns också bifogat. Innan ni lämnar in er ansökan är det viktigt att ni tar del av simförbundets </w:t>
      </w:r>
      <w:r w:rsidRPr="006A2480">
        <w:rPr>
          <w:rFonts w:ascii="Times New Roman" w:hAnsi="Times New Roman" w:cs="Times New Roman"/>
          <w:i/>
          <w:iCs/>
          <w:lang w:val="sv-SE"/>
        </w:rPr>
        <w:t>riktlinjer för NIU-skolor i simidrott.</w:t>
      </w:r>
    </w:p>
    <w:p w14:paraId="276A03FA" w14:textId="6259EE45" w:rsidR="006A2480" w:rsidRPr="006A2480" w:rsidRDefault="006A2480" w:rsidP="006A2480">
      <w:pPr>
        <w:spacing w:line="240" w:lineRule="auto"/>
        <w:rPr>
          <w:rFonts w:ascii="Times New Roman" w:hAnsi="Times New Roman" w:cs="Times New Roman"/>
          <w:lang w:val="sv-SE"/>
        </w:rPr>
      </w:pPr>
      <w:r w:rsidRPr="006A2480">
        <w:rPr>
          <w:rFonts w:ascii="Times New Roman" w:hAnsi="Times New Roman" w:cs="Times New Roman"/>
          <w:lang w:val="sv-SE"/>
        </w:rPr>
        <w:t>Ansökan skrivs i tre originalexemplar undertecknade av huvudman, rektor och förening och skickas till:</w:t>
      </w:r>
    </w:p>
    <w:p w14:paraId="4241417A" w14:textId="0B5A6F3C" w:rsidR="006A2480" w:rsidRPr="006A2480" w:rsidRDefault="006A2480" w:rsidP="006A2480">
      <w:pPr>
        <w:spacing w:line="240" w:lineRule="auto"/>
        <w:ind w:firstLine="720"/>
        <w:rPr>
          <w:rFonts w:ascii="Times New Roman" w:hAnsi="Times New Roman" w:cs="Times New Roman"/>
          <w:lang w:val="sv-SE"/>
        </w:rPr>
      </w:pPr>
      <w:r w:rsidRPr="006A2480">
        <w:rPr>
          <w:rFonts w:ascii="Times New Roman" w:hAnsi="Times New Roman" w:cs="Times New Roman"/>
          <w:lang w:val="sv-SE"/>
        </w:rPr>
        <w:t xml:space="preserve">Svenska Simförbundet, att. Helena Bengtsson, Heliosgatan 3, 120 30 Stockholm. </w:t>
      </w:r>
    </w:p>
    <w:tbl>
      <w:tblPr>
        <w:tblStyle w:val="Tabellrutnt"/>
        <w:tblpPr w:leftFromText="141" w:rightFromText="141" w:vertAnchor="text" w:horzAnchor="margin" w:tblpXSpec="center"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2824"/>
        <w:gridCol w:w="2824"/>
      </w:tblGrid>
      <w:tr w:rsidR="006A2480" w:rsidRPr="006A2480" w14:paraId="6F9575CC" w14:textId="77777777" w:rsidTr="006A2480">
        <w:tc>
          <w:tcPr>
            <w:tcW w:w="2846" w:type="dxa"/>
            <w:tcBorders>
              <w:top w:val="single" w:sz="4" w:space="0" w:color="auto"/>
              <w:left w:val="single" w:sz="4" w:space="0" w:color="auto"/>
              <w:bottom w:val="single" w:sz="4" w:space="0" w:color="auto"/>
              <w:right w:val="single" w:sz="4" w:space="0" w:color="auto"/>
            </w:tcBorders>
            <w:vAlign w:val="bottom"/>
          </w:tcPr>
          <w:p w14:paraId="56CAF350" w14:textId="77777777" w:rsidR="006A2480" w:rsidRPr="006A2480" w:rsidRDefault="006A2480" w:rsidP="006A2480">
            <w:pPr>
              <w:pStyle w:val="Ingetavstnd"/>
            </w:pPr>
          </w:p>
          <w:p w14:paraId="42E51E93" w14:textId="77777777" w:rsidR="006A2480" w:rsidRPr="006A2480" w:rsidRDefault="006A2480" w:rsidP="006A2480">
            <w:pPr>
              <w:pStyle w:val="Ingetavstnd"/>
            </w:pPr>
          </w:p>
        </w:tc>
        <w:tc>
          <w:tcPr>
            <w:tcW w:w="2824" w:type="dxa"/>
            <w:tcBorders>
              <w:top w:val="single" w:sz="4" w:space="0" w:color="auto"/>
              <w:left w:val="single" w:sz="4" w:space="0" w:color="auto"/>
              <w:bottom w:val="single" w:sz="4" w:space="0" w:color="auto"/>
              <w:right w:val="single" w:sz="4" w:space="0" w:color="auto"/>
            </w:tcBorders>
            <w:vAlign w:val="bottom"/>
          </w:tcPr>
          <w:p w14:paraId="6AD2D76C" w14:textId="77777777" w:rsidR="006A2480" w:rsidRPr="006A2480" w:rsidRDefault="006A2480" w:rsidP="006A2480">
            <w:pPr>
              <w:pStyle w:val="Ingetavstnd"/>
            </w:pPr>
            <w:r w:rsidRPr="006A2480">
              <w:br/>
            </w:r>
          </w:p>
          <w:p w14:paraId="359F4B43" w14:textId="77777777" w:rsidR="006A2480" w:rsidRPr="006A2480" w:rsidRDefault="006A2480" w:rsidP="006A2480">
            <w:pPr>
              <w:pStyle w:val="Ingetavstnd"/>
            </w:pPr>
          </w:p>
        </w:tc>
        <w:tc>
          <w:tcPr>
            <w:tcW w:w="2824" w:type="dxa"/>
            <w:tcBorders>
              <w:top w:val="single" w:sz="4" w:space="0" w:color="auto"/>
              <w:left w:val="single" w:sz="4" w:space="0" w:color="auto"/>
              <w:bottom w:val="single" w:sz="4" w:space="0" w:color="auto"/>
              <w:right w:val="single" w:sz="4" w:space="0" w:color="auto"/>
            </w:tcBorders>
            <w:vAlign w:val="bottom"/>
          </w:tcPr>
          <w:p w14:paraId="3B171B16" w14:textId="77777777" w:rsidR="006A2480" w:rsidRPr="006A2480" w:rsidRDefault="006A2480" w:rsidP="006A2480">
            <w:pPr>
              <w:pStyle w:val="Ingetavstnd"/>
            </w:pPr>
          </w:p>
          <w:p w14:paraId="0076FB5B" w14:textId="77777777" w:rsidR="006A2480" w:rsidRPr="006A2480" w:rsidRDefault="006A2480" w:rsidP="006A2480">
            <w:pPr>
              <w:pStyle w:val="Ingetavstnd"/>
            </w:pPr>
          </w:p>
        </w:tc>
      </w:tr>
      <w:tr w:rsidR="006A2480" w:rsidRPr="006A2480" w14:paraId="162B7A39" w14:textId="77777777" w:rsidTr="006A2480">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D5059A" w14:textId="77777777" w:rsidR="006A2480" w:rsidRPr="006A2480" w:rsidRDefault="006A2480" w:rsidP="006A2480">
            <w:pPr>
              <w:pStyle w:val="Ingetavstnd"/>
              <w:rPr>
                <w:sz w:val="20"/>
              </w:rPr>
            </w:pPr>
            <w:r w:rsidRPr="006A2480">
              <w:rPr>
                <w:sz w:val="20"/>
              </w:rPr>
              <w:t>Huvudman</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E44B8F1" w14:textId="77777777" w:rsidR="006A2480" w:rsidRPr="006A2480" w:rsidRDefault="006A2480" w:rsidP="006A2480">
            <w:pPr>
              <w:pStyle w:val="Ingetavstnd"/>
              <w:rPr>
                <w:sz w:val="20"/>
              </w:rPr>
            </w:pPr>
            <w:r w:rsidRPr="006A2480">
              <w:rPr>
                <w:sz w:val="20"/>
              </w:rPr>
              <w:t>Firmatecknare namn</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77C0C8" w14:textId="77777777" w:rsidR="006A2480" w:rsidRPr="006A2480" w:rsidRDefault="006A2480" w:rsidP="006A2480">
            <w:pPr>
              <w:pStyle w:val="Ingetavstnd"/>
              <w:rPr>
                <w:sz w:val="20"/>
              </w:rPr>
            </w:pPr>
            <w:r w:rsidRPr="006A2480">
              <w:rPr>
                <w:sz w:val="20"/>
              </w:rPr>
              <w:t>Firmatecknare underskrift</w:t>
            </w:r>
          </w:p>
        </w:tc>
      </w:tr>
      <w:tr w:rsidR="006A2480" w:rsidRPr="006A2480" w14:paraId="346187BD" w14:textId="77777777" w:rsidTr="006A2480">
        <w:tc>
          <w:tcPr>
            <w:tcW w:w="2846" w:type="dxa"/>
            <w:tcBorders>
              <w:top w:val="single" w:sz="4" w:space="0" w:color="auto"/>
              <w:left w:val="single" w:sz="4" w:space="0" w:color="auto"/>
              <w:bottom w:val="single" w:sz="4" w:space="0" w:color="auto"/>
              <w:right w:val="single" w:sz="4" w:space="0" w:color="auto"/>
            </w:tcBorders>
            <w:vAlign w:val="bottom"/>
          </w:tcPr>
          <w:p w14:paraId="1CFC8DB6" w14:textId="77777777" w:rsidR="006A2480" w:rsidRPr="006A2480" w:rsidRDefault="006A2480" w:rsidP="006A2480">
            <w:pPr>
              <w:pStyle w:val="Ingetavstnd"/>
              <w:rPr>
                <w:sz w:val="20"/>
              </w:rPr>
            </w:pPr>
          </w:p>
          <w:p w14:paraId="1FD55104" w14:textId="77777777" w:rsidR="006A2480" w:rsidRPr="006A2480" w:rsidRDefault="006A2480" w:rsidP="006A2480">
            <w:pPr>
              <w:pStyle w:val="Ingetavstnd"/>
              <w:rPr>
                <w:sz w:val="20"/>
              </w:rPr>
            </w:pPr>
          </w:p>
        </w:tc>
        <w:tc>
          <w:tcPr>
            <w:tcW w:w="2824" w:type="dxa"/>
            <w:tcBorders>
              <w:top w:val="single" w:sz="4" w:space="0" w:color="auto"/>
              <w:left w:val="single" w:sz="4" w:space="0" w:color="auto"/>
              <w:bottom w:val="single" w:sz="4" w:space="0" w:color="auto"/>
              <w:right w:val="single" w:sz="4" w:space="0" w:color="auto"/>
            </w:tcBorders>
            <w:vAlign w:val="bottom"/>
          </w:tcPr>
          <w:p w14:paraId="5591CE62" w14:textId="77777777" w:rsidR="006A2480" w:rsidRPr="006A2480" w:rsidRDefault="006A2480" w:rsidP="006A2480">
            <w:pPr>
              <w:pStyle w:val="Ingetavstnd"/>
              <w:rPr>
                <w:sz w:val="20"/>
              </w:rPr>
            </w:pPr>
          </w:p>
          <w:p w14:paraId="55A76DD3" w14:textId="77777777" w:rsidR="006A2480" w:rsidRPr="006A2480" w:rsidRDefault="006A2480" w:rsidP="006A2480">
            <w:pPr>
              <w:pStyle w:val="Ingetavstnd"/>
              <w:rPr>
                <w:sz w:val="20"/>
              </w:rPr>
            </w:pPr>
            <w:r w:rsidRPr="006A2480">
              <w:rPr>
                <w:sz w:val="20"/>
              </w:rPr>
              <w:br/>
            </w:r>
          </w:p>
        </w:tc>
        <w:tc>
          <w:tcPr>
            <w:tcW w:w="2824" w:type="dxa"/>
            <w:tcBorders>
              <w:top w:val="single" w:sz="4" w:space="0" w:color="auto"/>
              <w:left w:val="single" w:sz="4" w:space="0" w:color="auto"/>
              <w:bottom w:val="single" w:sz="4" w:space="0" w:color="auto"/>
              <w:right w:val="single" w:sz="4" w:space="0" w:color="auto"/>
            </w:tcBorders>
            <w:vAlign w:val="bottom"/>
          </w:tcPr>
          <w:p w14:paraId="132D2AE5" w14:textId="77777777" w:rsidR="006A2480" w:rsidRPr="006A2480" w:rsidRDefault="006A2480" w:rsidP="006A2480">
            <w:pPr>
              <w:pStyle w:val="Ingetavstnd"/>
              <w:rPr>
                <w:sz w:val="20"/>
              </w:rPr>
            </w:pPr>
          </w:p>
          <w:p w14:paraId="46D3549B" w14:textId="77777777" w:rsidR="006A2480" w:rsidRPr="006A2480" w:rsidRDefault="006A2480" w:rsidP="006A2480">
            <w:pPr>
              <w:pStyle w:val="Ingetavstnd"/>
              <w:rPr>
                <w:sz w:val="20"/>
              </w:rPr>
            </w:pPr>
          </w:p>
        </w:tc>
      </w:tr>
      <w:tr w:rsidR="006A2480" w:rsidRPr="006A2480" w14:paraId="246091FD" w14:textId="77777777" w:rsidTr="006A2480">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CA137CD" w14:textId="77777777" w:rsidR="006A2480" w:rsidRPr="006A2480" w:rsidRDefault="006A2480" w:rsidP="006A2480">
            <w:pPr>
              <w:pStyle w:val="Ingetavstnd"/>
              <w:rPr>
                <w:sz w:val="20"/>
              </w:rPr>
            </w:pPr>
            <w:r w:rsidRPr="006A2480">
              <w:rPr>
                <w:sz w:val="20"/>
              </w:rPr>
              <w:t>Skolenhet/er där NIU är förlagd</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E67AA7" w14:textId="77777777" w:rsidR="006A2480" w:rsidRPr="006A2480" w:rsidRDefault="006A2480" w:rsidP="006A2480">
            <w:pPr>
              <w:pStyle w:val="Ingetavstnd"/>
              <w:rPr>
                <w:sz w:val="20"/>
              </w:rPr>
            </w:pPr>
            <w:r w:rsidRPr="006A2480">
              <w:rPr>
                <w:sz w:val="20"/>
              </w:rPr>
              <w:t xml:space="preserve">Ansvarig </w:t>
            </w:r>
            <w:proofErr w:type="gramStart"/>
            <w:r w:rsidRPr="006A2480">
              <w:rPr>
                <w:sz w:val="20"/>
              </w:rPr>
              <w:t>rektor namn</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FC47EF" w14:textId="77777777" w:rsidR="006A2480" w:rsidRPr="006A2480" w:rsidRDefault="006A2480" w:rsidP="006A2480">
            <w:pPr>
              <w:pStyle w:val="Ingetavstnd"/>
              <w:rPr>
                <w:sz w:val="20"/>
              </w:rPr>
            </w:pPr>
            <w:r w:rsidRPr="006A2480">
              <w:rPr>
                <w:sz w:val="20"/>
              </w:rPr>
              <w:t xml:space="preserve">Ansvarig </w:t>
            </w:r>
            <w:proofErr w:type="gramStart"/>
            <w:r w:rsidRPr="006A2480">
              <w:rPr>
                <w:sz w:val="20"/>
              </w:rPr>
              <w:t>rektor underskrift</w:t>
            </w:r>
            <w:proofErr w:type="gramEnd"/>
          </w:p>
        </w:tc>
      </w:tr>
      <w:tr w:rsidR="006A2480" w:rsidRPr="006A2480" w14:paraId="79635F6F" w14:textId="77777777" w:rsidTr="006A2480">
        <w:tc>
          <w:tcPr>
            <w:tcW w:w="2846" w:type="dxa"/>
            <w:tcBorders>
              <w:top w:val="single" w:sz="4" w:space="0" w:color="auto"/>
              <w:left w:val="single" w:sz="4" w:space="0" w:color="auto"/>
              <w:bottom w:val="single" w:sz="4" w:space="0" w:color="auto"/>
              <w:right w:val="single" w:sz="4" w:space="0" w:color="auto"/>
            </w:tcBorders>
            <w:vAlign w:val="bottom"/>
          </w:tcPr>
          <w:p w14:paraId="27CD5B9F" w14:textId="77777777" w:rsidR="006A2480" w:rsidRPr="006A2480" w:rsidRDefault="006A2480" w:rsidP="006A2480">
            <w:pPr>
              <w:pStyle w:val="Ingetavstnd"/>
            </w:pPr>
          </w:p>
          <w:p w14:paraId="0C40ABE5" w14:textId="77777777" w:rsidR="006A2480" w:rsidRPr="006A2480" w:rsidRDefault="006A2480" w:rsidP="006A2480">
            <w:pPr>
              <w:pStyle w:val="Ingetavstnd"/>
            </w:pPr>
          </w:p>
        </w:tc>
        <w:tc>
          <w:tcPr>
            <w:tcW w:w="2824" w:type="dxa"/>
            <w:tcBorders>
              <w:top w:val="single" w:sz="4" w:space="0" w:color="auto"/>
              <w:left w:val="single" w:sz="4" w:space="0" w:color="auto"/>
              <w:bottom w:val="single" w:sz="4" w:space="0" w:color="auto"/>
              <w:right w:val="single" w:sz="4" w:space="0" w:color="auto"/>
            </w:tcBorders>
            <w:vAlign w:val="bottom"/>
          </w:tcPr>
          <w:p w14:paraId="280F2E75" w14:textId="77777777" w:rsidR="006A2480" w:rsidRPr="006A2480" w:rsidRDefault="006A2480" w:rsidP="006A2480">
            <w:pPr>
              <w:pStyle w:val="Ingetavstnd"/>
            </w:pPr>
          </w:p>
          <w:p w14:paraId="6976162B" w14:textId="77777777" w:rsidR="006A2480" w:rsidRPr="006A2480" w:rsidRDefault="006A2480" w:rsidP="006A2480">
            <w:pPr>
              <w:pStyle w:val="Ingetavstnd"/>
            </w:pPr>
            <w:r w:rsidRPr="006A2480">
              <w:br/>
            </w:r>
          </w:p>
        </w:tc>
        <w:tc>
          <w:tcPr>
            <w:tcW w:w="2824" w:type="dxa"/>
            <w:tcBorders>
              <w:top w:val="single" w:sz="4" w:space="0" w:color="auto"/>
              <w:left w:val="single" w:sz="4" w:space="0" w:color="auto"/>
              <w:bottom w:val="single" w:sz="4" w:space="0" w:color="auto"/>
              <w:right w:val="single" w:sz="4" w:space="0" w:color="auto"/>
            </w:tcBorders>
            <w:vAlign w:val="bottom"/>
          </w:tcPr>
          <w:p w14:paraId="723D5D63" w14:textId="77777777" w:rsidR="006A2480" w:rsidRPr="006A2480" w:rsidRDefault="006A2480" w:rsidP="006A2480">
            <w:pPr>
              <w:pStyle w:val="Ingetavstnd"/>
            </w:pPr>
          </w:p>
          <w:p w14:paraId="3734A324" w14:textId="77777777" w:rsidR="006A2480" w:rsidRPr="006A2480" w:rsidRDefault="006A2480" w:rsidP="006A2480">
            <w:pPr>
              <w:pStyle w:val="Ingetavstnd"/>
            </w:pPr>
          </w:p>
        </w:tc>
      </w:tr>
      <w:tr w:rsidR="006A2480" w:rsidRPr="006A2480" w14:paraId="11EC7182" w14:textId="77777777" w:rsidTr="006A2480">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5130D6" w14:textId="77777777" w:rsidR="006A2480" w:rsidRPr="006A2480" w:rsidRDefault="006A2480" w:rsidP="006A2480">
            <w:pPr>
              <w:pStyle w:val="Ingetavstnd"/>
              <w:rPr>
                <w:sz w:val="20"/>
              </w:rPr>
            </w:pPr>
            <w:r w:rsidRPr="006A2480">
              <w:rPr>
                <w:sz w:val="20"/>
              </w:rPr>
              <w:t>Samarbetande förening/distrikt</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CB8A56" w14:textId="77777777" w:rsidR="006A2480" w:rsidRPr="006A2480" w:rsidRDefault="006A2480" w:rsidP="006A2480">
            <w:pPr>
              <w:pStyle w:val="Ingetavstnd"/>
              <w:rPr>
                <w:sz w:val="20"/>
              </w:rPr>
            </w:pPr>
            <w:r w:rsidRPr="006A2480">
              <w:rPr>
                <w:sz w:val="20"/>
              </w:rPr>
              <w:t>Firmatecknare namn</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86E42D" w14:textId="77777777" w:rsidR="006A2480" w:rsidRPr="006A2480" w:rsidRDefault="006A2480" w:rsidP="006A2480">
            <w:pPr>
              <w:pStyle w:val="Ingetavstnd"/>
              <w:rPr>
                <w:sz w:val="20"/>
              </w:rPr>
            </w:pPr>
            <w:r w:rsidRPr="006A2480">
              <w:rPr>
                <w:sz w:val="20"/>
              </w:rPr>
              <w:t>Firmatecknare underskrift</w:t>
            </w:r>
          </w:p>
        </w:tc>
      </w:tr>
      <w:tr w:rsidR="006A2480" w:rsidRPr="006A2480" w14:paraId="61ABEBCC" w14:textId="77777777" w:rsidTr="006A2480">
        <w:trPr>
          <w:trHeight w:val="567"/>
        </w:trPr>
        <w:tc>
          <w:tcPr>
            <w:tcW w:w="2846" w:type="dxa"/>
            <w:tcBorders>
              <w:top w:val="single" w:sz="4" w:space="0" w:color="auto"/>
              <w:left w:val="single" w:sz="4" w:space="0" w:color="auto"/>
              <w:bottom w:val="single" w:sz="4" w:space="0" w:color="auto"/>
              <w:right w:val="single" w:sz="4" w:space="0" w:color="auto"/>
            </w:tcBorders>
            <w:vAlign w:val="bottom"/>
          </w:tcPr>
          <w:p w14:paraId="36CB55EE" w14:textId="77777777" w:rsidR="006A2480" w:rsidRPr="006A2480" w:rsidRDefault="006A2480" w:rsidP="006A2480">
            <w:pPr>
              <w:pStyle w:val="Ingetavstnd"/>
              <w:jc w:val="center"/>
            </w:pPr>
            <w:r w:rsidRPr="006A2480">
              <w:t>Svenska Simförbundet</w:t>
            </w:r>
          </w:p>
          <w:p w14:paraId="31AC4CCD" w14:textId="77777777" w:rsidR="006A2480" w:rsidRPr="006A2480" w:rsidRDefault="006A2480" w:rsidP="006A2480">
            <w:pPr>
              <w:pStyle w:val="Ingetavstnd"/>
              <w:jc w:val="center"/>
            </w:pPr>
          </w:p>
        </w:tc>
        <w:tc>
          <w:tcPr>
            <w:tcW w:w="2824" w:type="dxa"/>
            <w:tcBorders>
              <w:top w:val="single" w:sz="4" w:space="0" w:color="auto"/>
              <w:left w:val="single" w:sz="4" w:space="0" w:color="auto"/>
              <w:bottom w:val="single" w:sz="4" w:space="0" w:color="auto"/>
              <w:right w:val="single" w:sz="4" w:space="0" w:color="auto"/>
            </w:tcBorders>
            <w:vAlign w:val="bottom"/>
          </w:tcPr>
          <w:p w14:paraId="3A0B16EF" w14:textId="77777777" w:rsidR="006A2480" w:rsidRPr="006A2480" w:rsidRDefault="006A2480" w:rsidP="006A2480">
            <w:pPr>
              <w:pStyle w:val="Ingetavstnd"/>
            </w:pPr>
            <w:r w:rsidRPr="006A2480">
              <w:br/>
            </w:r>
            <w:r w:rsidRPr="006A2480">
              <w:br/>
            </w:r>
          </w:p>
        </w:tc>
        <w:tc>
          <w:tcPr>
            <w:tcW w:w="2824" w:type="dxa"/>
            <w:tcBorders>
              <w:top w:val="single" w:sz="4" w:space="0" w:color="auto"/>
              <w:left w:val="single" w:sz="4" w:space="0" w:color="auto"/>
              <w:bottom w:val="single" w:sz="4" w:space="0" w:color="auto"/>
              <w:right w:val="single" w:sz="4" w:space="0" w:color="auto"/>
            </w:tcBorders>
            <w:vAlign w:val="bottom"/>
          </w:tcPr>
          <w:p w14:paraId="567BAD15" w14:textId="77777777" w:rsidR="006A2480" w:rsidRPr="006A2480" w:rsidRDefault="006A2480" w:rsidP="006A2480">
            <w:pPr>
              <w:pStyle w:val="Ingetavstnd"/>
            </w:pPr>
          </w:p>
        </w:tc>
      </w:tr>
      <w:tr w:rsidR="006A2480" w:rsidRPr="006A2480" w14:paraId="3AD15DDE" w14:textId="77777777" w:rsidTr="006A2480">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81E3E7" w14:textId="77777777" w:rsidR="006A2480" w:rsidRPr="006A2480" w:rsidRDefault="006A2480" w:rsidP="006A2480">
            <w:pPr>
              <w:pStyle w:val="Ingetavstnd"/>
              <w:rPr>
                <w:sz w:val="20"/>
              </w:rPr>
            </w:pP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10D2E2" w14:textId="77777777" w:rsidR="006A2480" w:rsidRPr="006A2480" w:rsidRDefault="006A2480" w:rsidP="006A2480">
            <w:pPr>
              <w:pStyle w:val="Ingetavstnd"/>
              <w:rPr>
                <w:sz w:val="19"/>
                <w:szCs w:val="19"/>
              </w:rPr>
            </w:pPr>
            <w:r w:rsidRPr="006A2480">
              <w:rPr>
                <w:sz w:val="19"/>
                <w:szCs w:val="19"/>
              </w:rPr>
              <w:t>Ansvarig SSF namn</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770A42" w14:textId="77777777" w:rsidR="006A2480" w:rsidRPr="006A2480" w:rsidRDefault="006A2480" w:rsidP="006A2480">
            <w:pPr>
              <w:pStyle w:val="Ingetavstnd"/>
              <w:rPr>
                <w:sz w:val="20"/>
              </w:rPr>
            </w:pPr>
            <w:r w:rsidRPr="006A2480">
              <w:rPr>
                <w:sz w:val="20"/>
              </w:rPr>
              <w:t>Ansvarig SSF underskrift</w:t>
            </w:r>
          </w:p>
        </w:tc>
      </w:tr>
      <w:tr w:rsidR="006A2480" w:rsidRPr="006A2480" w14:paraId="6A4019BD" w14:textId="77777777" w:rsidTr="006A2480">
        <w:tc>
          <w:tcPr>
            <w:tcW w:w="2846" w:type="dxa"/>
            <w:tcBorders>
              <w:top w:val="single" w:sz="4" w:space="0" w:color="auto"/>
              <w:left w:val="single" w:sz="4" w:space="0" w:color="auto"/>
              <w:bottom w:val="single" w:sz="4" w:space="0" w:color="auto"/>
              <w:right w:val="single" w:sz="4" w:space="0" w:color="auto"/>
            </w:tcBorders>
            <w:vAlign w:val="bottom"/>
          </w:tcPr>
          <w:p w14:paraId="0D0AE9F7" w14:textId="77777777" w:rsidR="006A2480" w:rsidRPr="006A2480" w:rsidRDefault="006A2480" w:rsidP="006A2480">
            <w:pPr>
              <w:pStyle w:val="Ingetavstnd"/>
            </w:pPr>
          </w:p>
          <w:p w14:paraId="76BE53D0" w14:textId="77777777" w:rsidR="006A2480" w:rsidRPr="006A2480" w:rsidRDefault="006A2480" w:rsidP="006A2480">
            <w:pPr>
              <w:pStyle w:val="Ingetavstnd"/>
            </w:pPr>
          </w:p>
        </w:tc>
        <w:tc>
          <w:tcPr>
            <w:tcW w:w="2824" w:type="dxa"/>
            <w:tcBorders>
              <w:top w:val="single" w:sz="4" w:space="0" w:color="auto"/>
              <w:left w:val="single" w:sz="4" w:space="0" w:color="auto"/>
              <w:bottom w:val="single" w:sz="4" w:space="0" w:color="auto"/>
              <w:right w:val="single" w:sz="4" w:space="0" w:color="auto"/>
            </w:tcBorders>
            <w:vAlign w:val="bottom"/>
          </w:tcPr>
          <w:p w14:paraId="7EA23D68" w14:textId="77777777" w:rsidR="006A2480" w:rsidRPr="006A2480" w:rsidRDefault="006A2480" w:rsidP="006A2480">
            <w:pPr>
              <w:pStyle w:val="Ingetavstnd"/>
            </w:pPr>
          </w:p>
        </w:tc>
        <w:tc>
          <w:tcPr>
            <w:tcW w:w="2824" w:type="dxa"/>
            <w:tcBorders>
              <w:top w:val="single" w:sz="4" w:space="0" w:color="auto"/>
              <w:left w:val="single" w:sz="4" w:space="0" w:color="auto"/>
              <w:bottom w:val="single" w:sz="4" w:space="0" w:color="auto"/>
              <w:right w:val="single" w:sz="4" w:space="0" w:color="auto"/>
            </w:tcBorders>
            <w:vAlign w:val="bottom"/>
          </w:tcPr>
          <w:p w14:paraId="311ABFE2" w14:textId="77777777" w:rsidR="006A2480" w:rsidRPr="006A2480" w:rsidRDefault="006A2480" w:rsidP="006A2480">
            <w:pPr>
              <w:pStyle w:val="Ingetavstnd"/>
            </w:pPr>
          </w:p>
        </w:tc>
      </w:tr>
      <w:tr w:rsidR="006A2480" w:rsidRPr="006A2480" w14:paraId="2E13CE8D" w14:textId="77777777" w:rsidTr="006A2480">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28634B" w14:textId="77777777" w:rsidR="006A2480" w:rsidRPr="006A2480" w:rsidRDefault="006A2480" w:rsidP="006A2480">
            <w:pPr>
              <w:pStyle w:val="Ingetavstnd"/>
              <w:rPr>
                <w:sz w:val="20"/>
              </w:rPr>
            </w:pPr>
            <w:r w:rsidRPr="006A2480">
              <w:rPr>
                <w:sz w:val="20"/>
              </w:rPr>
              <w:t>Antal sökta platser över en treårsperiod (lägst 12)</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7602DA" w14:textId="77777777" w:rsidR="006A2480" w:rsidRPr="006A2480" w:rsidRDefault="006A2480" w:rsidP="006A2480">
            <w:pPr>
              <w:pStyle w:val="Ingetavstnd"/>
              <w:rPr>
                <w:sz w:val="20"/>
              </w:rPr>
            </w:pPr>
            <w:r w:rsidRPr="006A2480">
              <w:rPr>
                <w:sz w:val="20"/>
              </w:rPr>
              <w:t>Ange om ansökan avser simning och/eller simhopp</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580710" w14:textId="77777777" w:rsidR="006A2480" w:rsidRPr="006A2480" w:rsidRDefault="006A2480" w:rsidP="006A2480">
            <w:pPr>
              <w:pStyle w:val="Ingetavstnd"/>
            </w:pPr>
          </w:p>
        </w:tc>
      </w:tr>
      <w:tr w:rsidR="006A2480" w:rsidRPr="006A2480" w14:paraId="56ADA053" w14:textId="77777777" w:rsidTr="006A2480">
        <w:tc>
          <w:tcPr>
            <w:tcW w:w="2846" w:type="dxa"/>
            <w:tcBorders>
              <w:top w:val="single" w:sz="4" w:space="0" w:color="auto"/>
            </w:tcBorders>
            <w:vAlign w:val="bottom"/>
          </w:tcPr>
          <w:p w14:paraId="48E7BF14" w14:textId="77777777" w:rsidR="006A2480" w:rsidRPr="006A2480" w:rsidRDefault="006A2480" w:rsidP="006A2480">
            <w:pPr>
              <w:pStyle w:val="Ingetavstnd"/>
            </w:pPr>
          </w:p>
        </w:tc>
        <w:tc>
          <w:tcPr>
            <w:tcW w:w="2824" w:type="dxa"/>
            <w:tcBorders>
              <w:top w:val="single" w:sz="4" w:space="0" w:color="auto"/>
            </w:tcBorders>
            <w:vAlign w:val="bottom"/>
          </w:tcPr>
          <w:p w14:paraId="7D9A4385" w14:textId="77777777" w:rsidR="006A2480" w:rsidRPr="006A2480" w:rsidRDefault="006A2480" w:rsidP="006A2480">
            <w:pPr>
              <w:pStyle w:val="Ingetavstnd"/>
            </w:pPr>
          </w:p>
        </w:tc>
        <w:tc>
          <w:tcPr>
            <w:tcW w:w="2824" w:type="dxa"/>
            <w:tcBorders>
              <w:top w:val="single" w:sz="4" w:space="0" w:color="auto"/>
            </w:tcBorders>
            <w:vAlign w:val="bottom"/>
          </w:tcPr>
          <w:p w14:paraId="221D3CAE" w14:textId="77777777" w:rsidR="006A2480" w:rsidRPr="006A2480" w:rsidRDefault="006A2480" w:rsidP="006A2480">
            <w:pPr>
              <w:pStyle w:val="Ingetavstnd"/>
            </w:pPr>
          </w:p>
        </w:tc>
      </w:tr>
    </w:tbl>
    <w:p w14:paraId="5C79CE5E" w14:textId="77777777" w:rsidR="006A2480" w:rsidRPr="006A2480" w:rsidRDefault="006A2480" w:rsidP="006A2480">
      <w:pPr>
        <w:spacing w:line="240" w:lineRule="auto"/>
        <w:rPr>
          <w:rFonts w:ascii="Times New Roman" w:hAnsi="Times New Roman" w:cs="Times New Roman"/>
          <w:lang w:val="sv-SE"/>
        </w:rPr>
      </w:pPr>
      <w:r w:rsidRPr="006A2480">
        <w:rPr>
          <w:rFonts w:ascii="Times New Roman" w:hAnsi="Times New Roman" w:cs="Times New Roman"/>
          <w:lang w:val="sv-SE"/>
        </w:rPr>
        <w:t xml:space="preserve">Om ansökan tillstyrks av Svenska Simförbundet fullbordas avtalet och </w:t>
      </w:r>
      <w:proofErr w:type="gramStart"/>
      <w:r w:rsidRPr="006A2480">
        <w:rPr>
          <w:rFonts w:ascii="Times New Roman" w:hAnsi="Times New Roman" w:cs="Times New Roman"/>
          <w:lang w:val="sv-SE"/>
        </w:rPr>
        <w:t>vardera part</w:t>
      </w:r>
      <w:proofErr w:type="gramEnd"/>
      <w:r w:rsidRPr="006A2480">
        <w:rPr>
          <w:rFonts w:ascii="Times New Roman" w:hAnsi="Times New Roman" w:cs="Times New Roman"/>
          <w:lang w:val="sv-SE"/>
        </w:rPr>
        <w:t xml:space="preserve"> tillsänds ett exemplar.</w:t>
      </w:r>
    </w:p>
    <w:p w14:paraId="7C840241" w14:textId="77777777" w:rsidR="006A2480" w:rsidRPr="006A2480" w:rsidRDefault="006A2480" w:rsidP="006A2480">
      <w:pPr>
        <w:spacing w:line="240" w:lineRule="auto"/>
        <w:rPr>
          <w:rFonts w:ascii="Times New Roman" w:eastAsiaTheme="majorEastAsia" w:hAnsi="Times New Roman" w:cs="Times New Roman"/>
          <w:b/>
          <w:sz w:val="28"/>
          <w:szCs w:val="32"/>
          <w:lang w:val="sv-SE"/>
        </w:rPr>
      </w:pPr>
      <w:r w:rsidRPr="006A2480">
        <w:rPr>
          <w:rFonts w:ascii="Times New Roman" w:eastAsiaTheme="majorEastAsia" w:hAnsi="Times New Roman" w:cs="Times New Roman"/>
          <w:b/>
          <w:sz w:val="28"/>
          <w:szCs w:val="32"/>
          <w:lang w:val="sv-SE"/>
        </w:rPr>
        <w:br w:type="page"/>
      </w:r>
    </w:p>
    <w:p w14:paraId="6F578380" w14:textId="77777777" w:rsidR="006A2480" w:rsidRPr="006A2480" w:rsidRDefault="006A2480" w:rsidP="006A2480">
      <w:pPr>
        <w:pStyle w:val="Rubrik1"/>
        <w:spacing w:before="0" w:after="0"/>
        <w:rPr>
          <w:rFonts w:ascii="Times New Roman" w:hAnsi="Times New Roman" w:cs="Times New Roman"/>
        </w:rPr>
      </w:pPr>
      <w:r w:rsidRPr="006A2480">
        <w:rPr>
          <w:rFonts w:ascii="Times New Roman" w:hAnsi="Times New Roman" w:cs="Times New Roman"/>
        </w:rPr>
        <w:lastRenderedPageBreak/>
        <w:t xml:space="preserve">Vägledning för SF vid tillstyrkan av NIU  </w:t>
      </w:r>
    </w:p>
    <w:p w14:paraId="0B5CCA80" w14:textId="0EEDE3BD"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sz w:val="10"/>
          <w:szCs w:val="10"/>
          <w:lang w:val="sv-SE"/>
        </w:rPr>
        <w:br/>
      </w:r>
      <w:r w:rsidRPr="006A2480">
        <w:rPr>
          <w:rFonts w:ascii="Times New Roman" w:hAnsi="Times New Roman" w:cs="Times New Roman"/>
          <w:lang w:val="sv-SE"/>
        </w:rPr>
        <w:t>Verksamheten vid Nationellt Godkända Idrottsutbildningar (NIU) regleras av Gymnasieförordningen (2010:2039)</w:t>
      </w:r>
      <w:r w:rsidRPr="006A2480">
        <w:rPr>
          <w:rStyle w:val="Fotnotsreferens"/>
          <w:rFonts w:ascii="Times New Roman" w:hAnsi="Times New Roman" w:cs="Times New Roman"/>
        </w:rPr>
        <w:footnoteReference w:id="1"/>
      </w:r>
      <w:r w:rsidRPr="006A2480">
        <w:rPr>
          <w:rFonts w:ascii="Times New Roman" w:hAnsi="Times New Roman" w:cs="Times New Roman"/>
          <w:lang w:val="sv-SE"/>
        </w:rPr>
        <w:t xml:space="preserve"> där 5 kap beskriver ”Avvikelser inom de nationella programmen”. §§ 27–30 anger vad som gäller för NIU medan §31 beskriver ämnet specialidrott för såväl RIG som NIU.  </w:t>
      </w:r>
    </w:p>
    <w:p w14:paraId="01D153DD" w14:textId="77777777" w:rsidR="006A2480" w:rsidRPr="006A2480" w:rsidRDefault="006A2480" w:rsidP="006A2480">
      <w:pPr>
        <w:spacing w:after="0" w:line="240" w:lineRule="auto"/>
        <w:rPr>
          <w:rFonts w:ascii="Times New Roman" w:hAnsi="Times New Roman" w:cs="Times New Roman"/>
          <w:lang w:val="sv-SE"/>
        </w:rPr>
      </w:pPr>
    </w:p>
    <w:p w14:paraId="568B0413" w14:textId="6072AF63" w:rsidR="006A2480" w:rsidRPr="006A2480" w:rsidRDefault="006A2480" w:rsidP="006A2480">
      <w:pPr>
        <w:pStyle w:val="Rubrik2"/>
        <w:spacing w:before="0" w:after="0"/>
        <w:rPr>
          <w:rFonts w:ascii="Times New Roman" w:hAnsi="Times New Roman" w:cs="Times New Roman"/>
          <w:sz w:val="10"/>
          <w:szCs w:val="12"/>
        </w:rPr>
      </w:pPr>
      <w:r w:rsidRPr="006A2480">
        <w:rPr>
          <w:rFonts w:ascii="Times New Roman" w:hAnsi="Times New Roman" w:cs="Times New Roman"/>
        </w:rPr>
        <w:t>Gymnasieförordningen (2010:2039)</w:t>
      </w:r>
      <w:r w:rsidRPr="006A2480">
        <w:rPr>
          <w:rFonts w:ascii="Times New Roman" w:hAnsi="Times New Roman" w:cs="Times New Roman"/>
        </w:rPr>
        <w:br/>
      </w:r>
    </w:p>
    <w:p w14:paraId="2E282EFD" w14:textId="77777777" w:rsidR="006A2480" w:rsidRPr="006A2480" w:rsidRDefault="006A2480" w:rsidP="006A2480">
      <w:pPr>
        <w:spacing w:after="0" w:line="240" w:lineRule="auto"/>
        <w:rPr>
          <w:rFonts w:ascii="Times New Roman" w:hAnsi="Times New Roman" w:cs="Times New Roman"/>
          <w:b/>
          <w:i/>
          <w:lang w:val="sv-SE"/>
        </w:rPr>
      </w:pPr>
      <w:r w:rsidRPr="006A2480">
        <w:rPr>
          <w:rFonts w:ascii="Times New Roman" w:hAnsi="Times New Roman" w:cs="Times New Roman"/>
          <w:b/>
          <w:i/>
          <w:lang w:val="sv-SE"/>
        </w:rPr>
        <w:t xml:space="preserve">Förutsättningar   </w:t>
      </w:r>
    </w:p>
    <w:p w14:paraId="569F6179" w14:textId="77777777" w:rsidR="006A2480" w:rsidRP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 xml:space="preserve">27§ En utbildning där ämnet specialidrott ingår får godkännas som en nationell idrottsutbildning om den har en tydlig elitidrottskaraktär och ett etablerat samarbete med ett specialidrottsförbund som är relevant för utbildningen. </w:t>
      </w:r>
    </w:p>
    <w:p w14:paraId="3B6B3653" w14:textId="77777777" w:rsidR="006A2480" w:rsidRPr="006A2480" w:rsidRDefault="006A2480" w:rsidP="006A2480">
      <w:pPr>
        <w:spacing w:after="0" w:line="240" w:lineRule="auto"/>
        <w:rPr>
          <w:rFonts w:ascii="Times New Roman" w:hAnsi="Times New Roman" w:cs="Times New Roman"/>
          <w:i/>
          <w:lang w:val="sv-SE"/>
        </w:rPr>
      </w:pPr>
    </w:p>
    <w:p w14:paraId="1B0FE00D" w14:textId="77777777" w:rsidR="006A2480" w:rsidRP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 xml:space="preserve">Utbildningen ska tillstyrkas av specialidrottsförbundet.  </w:t>
      </w:r>
    </w:p>
    <w:p w14:paraId="4B131AA7" w14:textId="77777777" w:rsidR="006A2480" w:rsidRPr="006A2480" w:rsidRDefault="006A2480" w:rsidP="006A2480">
      <w:pPr>
        <w:tabs>
          <w:tab w:val="left" w:pos="2760"/>
        </w:tabs>
        <w:spacing w:after="0" w:line="240" w:lineRule="auto"/>
        <w:rPr>
          <w:rFonts w:ascii="Times New Roman" w:hAnsi="Times New Roman" w:cs="Times New Roman"/>
          <w:i/>
          <w:lang w:val="sv-SE"/>
        </w:rPr>
      </w:pPr>
    </w:p>
    <w:p w14:paraId="36F260E5" w14:textId="77777777" w:rsidR="006A2480" w:rsidRPr="006A2480" w:rsidRDefault="006A2480" w:rsidP="006A2480">
      <w:pPr>
        <w:spacing w:after="0" w:line="240" w:lineRule="auto"/>
        <w:rPr>
          <w:rFonts w:ascii="Times New Roman" w:hAnsi="Times New Roman" w:cs="Times New Roman"/>
          <w:b/>
          <w:i/>
          <w:lang w:val="sv-SE"/>
        </w:rPr>
      </w:pPr>
      <w:r w:rsidRPr="006A2480">
        <w:rPr>
          <w:rFonts w:ascii="Times New Roman" w:hAnsi="Times New Roman" w:cs="Times New Roman"/>
          <w:b/>
          <w:i/>
          <w:lang w:val="sv-SE"/>
        </w:rPr>
        <w:t xml:space="preserve">Ansökan </w:t>
      </w:r>
    </w:p>
    <w:p w14:paraId="0B7BFE12" w14:textId="77777777" w:rsidR="006A2480" w:rsidRP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 xml:space="preserve">28§ En kommun eller en enskild huvudman får ansöka om nationellt godkänd idrottsutbildning hos Statens skolverk. Enskilda huvudmän ska, enligt 2 kap. 1 och 4 §§, ge in ansökan till Statens skolinspektion.  </w:t>
      </w:r>
    </w:p>
    <w:p w14:paraId="2ECEB9F4" w14:textId="77777777" w:rsidR="006A2480" w:rsidRPr="006A2480" w:rsidRDefault="006A2480" w:rsidP="006A2480">
      <w:pPr>
        <w:spacing w:after="0" w:line="240" w:lineRule="auto"/>
        <w:rPr>
          <w:rFonts w:ascii="Times New Roman" w:hAnsi="Times New Roman" w:cs="Times New Roman"/>
          <w:i/>
          <w:lang w:val="sv-SE"/>
        </w:rPr>
      </w:pPr>
    </w:p>
    <w:p w14:paraId="4BC08F12" w14:textId="77777777" w:rsidR="006A2480" w:rsidRPr="006A2480" w:rsidRDefault="006A2480" w:rsidP="006A2480">
      <w:pPr>
        <w:spacing w:after="0" w:line="240" w:lineRule="auto"/>
        <w:rPr>
          <w:rFonts w:ascii="Times New Roman" w:hAnsi="Times New Roman" w:cs="Times New Roman"/>
          <w:b/>
          <w:i/>
          <w:lang w:val="sv-SE"/>
        </w:rPr>
      </w:pPr>
      <w:r w:rsidRPr="006A2480">
        <w:rPr>
          <w:rFonts w:ascii="Times New Roman" w:hAnsi="Times New Roman" w:cs="Times New Roman"/>
          <w:b/>
          <w:i/>
          <w:lang w:val="sv-SE"/>
        </w:rPr>
        <w:t xml:space="preserve">Beslut   </w:t>
      </w:r>
    </w:p>
    <w:p w14:paraId="353D7FAE" w14:textId="77777777" w:rsidR="006A2480" w:rsidRP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 xml:space="preserve">29§ Statens skolverk beslutar om var nationellt godkända idrottsutbildningar får anordnas och om hur många platser dessa utbildningar får omfatta. </w:t>
      </w:r>
    </w:p>
    <w:p w14:paraId="1357FD65" w14:textId="77777777" w:rsidR="006A2480" w:rsidRPr="006A2480" w:rsidRDefault="006A2480" w:rsidP="006A2480">
      <w:pPr>
        <w:spacing w:after="0" w:line="240" w:lineRule="auto"/>
        <w:rPr>
          <w:rFonts w:ascii="Times New Roman" w:hAnsi="Times New Roman" w:cs="Times New Roman"/>
          <w:i/>
          <w:lang w:val="sv-SE"/>
        </w:rPr>
      </w:pPr>
    </w:p>
    <w:p w14:paraId="31A0D499" w14:textId="77777777" w:rsidR="006A2480" w:rsidRP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 xml:space="preserve">Av beslutet ska det framgå vid vilken eller vilka skolenheter utbildningen ska anordnas. Beslutet ska gälla för fyra antagningsomgångar. </w:t>
      </w:r>
    </w:p>
    <w:p w14:paraId="0208C14F" w14:textId="77777777" w:rsidR="006A2480" w:rsidRPr="006A2480" w:rsidRDefault="006A2480" w:rsidP="006A2480">
      <w:pPr>
        <w:spacing w:after="0" w:line="240" w:lineRule="auto"/>
        <w:rPr>
          <w:rFonts w:ascii="Times New Roman" w:hAnsi="Times New Roman" w:cs="Times New Roman"/>
          <w:i/>
          <w:lang w:val="sv-SE"/>
        </w:rPr>
      </w:pPr>
    </w:p>
    <w:p w14:paraId="24ECB15E" w14:textId="77777777" w:rsidR="006A2480" w:rsidRP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 xml:space="preserve">Statens skolverks beslut ska om möjligt fattas senast den 1 september året innan utbildningen på programmet planeras att starta. Förordning (2012:117). </w:t>
      </w:r>
    </w:p>
    <w:p w14:paraId="275D296F" w14:textId="77777777" w:rsidR="006A2480" w:rsidRPr="006A2480" w:rsidRDefault="006A2480" w:rsidP="006A2480">
      <w:pPr>
        <w:spacing w:after="0" w:line="240" w:lineRule="auto"/>
        <w:rPr>
          <w:rFonts w:ascii="Times New Roman" w:hAnsi="Times New Roman" w:cs="Times New Roman"/>
          <w:b/>
          <w:i/>
          <w:lang w:val="sv-SE"/>
        </w:rPr>
      </w:pPr>
    </w:p>
    <w:p w14:paraId="3C0B6057" w14:textId="77777777" w:rsidR="006A2480" w:rsidRPr="006A2480" w:rsidRDefault="006A2480" w:rsidP="006A2480">
      <w:pPr>
        <w:spacing w:after="0" w:line="240" w:lineRule="auto"/>
        <w:rPr>
          <w:rFonts w:ascii="Times New Roman" w:hAnsi="Times New Roman" w:cs="Times New Roman"/>
          <w:b/>
          <w:i/>
          <w:lang w:val="sv-SE"/>
        </w:rPr>
      </w:pPr>
      <w:r w:rsidRPr="006A2480">
        <w:rPr>
          <w:rFonts w:ascii="Times New Roman" w:hAnsi="Times New Roman" w:cs="Times New Roman"/>
          <w:b/>
          <w:i/>
          <w:lang w:val="sv-SE"/>
        </w:rPr>
        <w:t xml:space="preserve">Urval   </w:t>
      </w:r>
    </w:p>
    <w:p w14:paraId="1B7BBB5B" w14:textId="77777777" w:rsidR="006A2480" w:rsidRP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30§ Den sökande som anses ha bäst förutsättningar</w:t>
      </w:r>
      <w:r w:rsidRPr="006A2480">
        <w:rPr>
          <w:rStyle w:val="Fotnotsreferens"/>
          <w:rFonts w:ascii="Times New Roman" w:hAnsi="Times New Roman" w:cs="Times New Roman"/>
          <w:i/>
        </w:rPr>
        <w:footnoteReference w:id="2"/>
      </w:r>
      <w:r w:rsidRPr="006A2480">
        <w:rPr>
          <w:rFonts w:ascii="Times New Roman" w:hAnsi="Times New Roman" w:cs="Times New Roman"/>
          <w:i/>
          <w:lang w:val="sv-SE"/>
        </w:rPr>
        <w:t xml:space="preserve"> att tillgodogöra sig utbildningen ska ges företräde vid urval till utbildningen. Vid urval till programmen gäller bestämmelserna i 7 kap.  </w:t>
      </w:r>
    </w:p>
    <w:p w14:paraId="74CF4C0D" w14:textId="77777777" w:rsidR="006A2480" w:rsidRPr="006A2480" w:rsidRDefault="006A2480" w:rsidP="006A2480">
      <w:pPr>
        <w:spacing w:after="0" w:line="240" w:lineRule="auto"/>
        <w:rPr>
          <w:rFonts w:ascii="Times New Roman" w:hAnsi="Times New Roman" w:cs="Times New Roman"/>
          <w:i/>
          <w:lang w:val="sv-SE"/>
        </w:rPr>
      </w:pPr>
    </w:p>
    <w:p w14:paraId="1B0D4701" w14:textId="77777777" w:rsidR="006A2480" w:rsidRPr="006A2480" w:rsidRDefault="006A2480" w:rsidP="006A2480">
      <w:pPr>
        <w:spacing w:after="0" w:line="240" w:lineRule="auto"/>
        <w:rPr>
          <w:rFonts w:ascii="Times New Roman" w:hAnsi="Times New Roman" w:cs="Times New Roman"/>
          <w:b/>
          <w:i/>
          <w:lang w:val="sv-SE"/>
        </w:rPr>
      </w:pPr>
      <w:r w:rsidRPr="006A2480">
        <w:rPr>
          <w:rFonts w:ascii="Times New Roman" w:hAnsi="Times New Roman" w:cs="Times New Roman"/>
          <w:b/>
          <w:i/>
          <w:lang w:val="sv-SE"/>
        </w:rPr>
        <w:t xml:space="preserve">Specialidrott </w:t>
      </w:r>
    </w:p>
    <w:p w14:paraId="6769C0C9" w14:textId="35248FD4" w:rsidR="006A2480" w:rsidRDefault="006A2480" w:rsidP="006A2480">
      <w:pPr>
        <w:spacing w:after="0" w:line="240" w:lineRule="auto"/>
        <w:rPr>
          <w:rFonts w:ascii="Times New Roman" w:hAnsi="Times New Roman" w:cs="Times New Roman"/>
          <w:i/>
          <w:lang w:val="sv-SE"/>
        </w:rPr>
      </w:pPr>
      <w:r w:rsidRPr="006A2480">
        <w:rPr>
          <w:rFonts w:ascii="Times New Roman" w:hAnsi="Times New Roman" w:cs="Times New Roman"/>
          <w:i/>
          <w:lang w:val="sv-SE"/>
        </w:rPr>
        <w:t>31§ Ämnesplanen för specialidrott får bara tillämpas inom idrottsutbildningar vid riksidrottsgymnasium eller nationellt godkända idrottsutbildningar. Specialidrott får ingå med 200 gymnasiepoäng eller gymnasiesärskolepoäng i programfördjupningen och med 200 gymnasiepoäng eller gymnasiesärskolepoäng i det individuella valet. Dessutom får ämnet läsas som utökat program</w:t>
      </w:r>
      <w:r w:rsidRPr="006A2480">
        <w:rPr>
          <w:rStyle w:val="Fotnotsreferens"/>
          <w:rFonts w:ascii="Times New Roman" w:hAnsi="Times New Roman" w:cs="Times New Roman"/>
          <w:i/>
        </w:rPr>
        <w:footnoteReference w:id="3"/>
      </w:r>
      <w:r w:rsidRPr="006A2480">
        <w:rPr>
          <w:rFonts w:ascii="Times New Roman" w:hAnsi="Times New Roman" w:cs="Times New Roman"/>
          <w:i/>
          <w:lang w:val="sv-SE"/>
        </w:rPr>
        <w:t xml:space="preserve"> med högst 300 gymnasiepoäng eller gymnasiesärskolepoäng. Förordning (2012:745). </w:t>
      </w:r>
    </w:p>
    <w:p w14:paraId="56AE7B26" w14:textId="77777777" w:rsidR="006A2480" w:rsidRDefault="006A2480">
      <w:pPr>
        <w:rPr>
          <w:rFonts w:ascii="Times New Roman" w:hAnsi="Times New Roman" w:cs="Times New Roman"/>
          <w:i/>
          <w:lang w:val="sv-SE"/>
        </w:rPr>
      </w:pPr>
      <w:r>
        <w:rPr>
          <w:rFonts w:ascii="Times New Roman" w:hAnsi="Times New Roman" w:cs="Times New Roman"/>
          <w:i/>
          <w:lang w:val="sv-SE"/>
        </w:rPr>
        <w:br w:type="page"/>
      </w:r>
    </w:p>
    <w:p w14:paraId="627AFDE6" w14:textId="77777777" w:rsidR="006A2480" w:rsidRPr="006A2480" w:rsidRDefault="006A2480" w:rsidP="006A2480">
      <w:pPr>
        <w:pStyle w:val="Rubrik2"/>
        <w:spacing w:before="0" w:after="0"/>
        <w:rPr>
          <w:rFonts w:ascii="Times New Roman" w:hAnsi="Times New Roman" w:cs="Times New Roman"/>
          <w:sz w:val="28"/>
          <w:szCs w:val="28"/>
        </w:rPr>
      </w:pPr>
      <w:r w:rsidRPr="006A2480">
        <w:rPr>
          <w:rFonts w:ascii="Times New Roman" w:hAnsi="Times New Roman" w:cs="Times New Roman"/>
          <w:sz w:val="28"/>
          <w:szCs w:val="28"/>
        </w:rPr>
        <w:lastRenderedPageBreak/>
        <w:t xml:space="preserve">Tillstyrkan av SF </w:t>
      </w:r>
    </w:p>
    <w:p w14:paraId="236B476F" w14:textId="7EB7576A" w:rsidR="006A2480" w:rsidRPr="006A2480" w:rsidRDefault="006A2480" w:rsidP="006A2480">
      <w:pPr>
        <w:spacing w:after="0" w:line="240" w:lineRule="auto"/>
        <w:rPr>
          <w:rFonts w:ascii="Times New Roman" w:hAnsi="Times New Roman" w:cs="Times New Roman"/>
          <w:b/>
          <w:lang w:val="sv-SE"/>
        </w:rPr>
      </w:pPr>
      <w:r w:rsidRPr="006A2480">
        <w:rPr>
          <w:rFonts w:ascii="Times New Roman" w:hAnsi="Times New Roman" w:cs="Times New Roman"/>
          <w:b/>
          <w:sz w:val="10"/>
          <w:szCs w:val="10"/>
          <w:lang w:val="sv-SE"/>
        </w:rPr>
        <w:br/>
      </w:r>
      <w:r w:rsidRPr="006A2480">
        <w:rPr>
          <w:rFonts w:ascii="Times New Roman" w:hAnsi="Times New Roman" w:cs="Times New Roman"/>
          <w:b/>
          <w:lang w:val="sv-SE"/>
        </w:rPr>
        <w:t xml:space="preserve">Mot bakgrund av gymnasieförordningen åligger det SF att bedöma: </w:t>
      </w:r>
    </w:p>
    <w:p w14:paraId="65A02FDC" w14:textId="77777777" w:rsidR="006A2480" w:rsidRPr="006A2480" w:rsidRDefault="006A2480" w:rsidP="006A2480">
      <w:pPr>
        <w:pStyle w:val="Liststycke"/>
        <w:numPr>
          <w:ilvl w:val="0"/>
          <w:numId w:val="1"/>
        </w:numPr>
        <w:contextualSpacing/>
      </w:pPr>
      <w:r w:rsidRPr="006A2480">
        <w:t xml:space="preserve">Idrottsutbildningens elitidrottskaraktär, och  </w:t>
      </w:r>
    </w:p>
    <w:p w14:paraId="4D58F026" w14:textId="77777777" w:rsidR="006A2480" w:rsidRPr="006A2480" w:rsidRDefault="006A2480" w:rsidP="006A2480">
      <w:pPr>
        <w:pStyle w:val="Liststycke"/>
        <w:numPr>
          <w:ilvl w:val="0"/>
          <w:numId w:val="1"/>
        </w:numPr>
        <w:contextualSpacing/>
      </w:pPr>
      <w:r w:rsidRPr="006A2480">
        <w:t xml:space="preserve">Huruvida idrottsutbildningen har ett etablerat samarbete med specialidrottsförbundet som är relevant för utbildningen </w:t>
      </w:r>
    </w:p>
    <w:p w14:paraId="6801CADA" w14:textId="77777777" w:rsidR="006A2480" w:rsidRPr="006A2480" w:rsidRDefault="006A2480" w:rsidP="006A2480">
      <w:pPr>
        <w:spacing w:after="0" w:line="240" w:lineRule="auto"/>
        <w:rPr>
          <w:rFonts w:ascii="Times New Roman" w:hAnsi="Times New Roman" w:cs="Times New Roman"/>
          <w:lang w:val="sv-SE"/>
        </w:rPr>
      </w:pPr>
    </w:p>
    <w:p w14:paraId="27D0005D"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Baserat på denna bedömning ska SF, till Statens Skolverk, tillstyrka eller avstyrka ansökan från kommun eller enskild huvudman om att få bedriva nationellt godkänd idrottsutbildning. </w:t>
      </w:r>
    </w:p>
    <w:p w14:paraId="71AAAA3A" w14:textId="77777777" w:rsidR="006A2480" w:rsidRPr="006A2480" w:rsidRDefault="006A2480" w:rsidP="006A2480">
      <w:pPr>
        <w:spacing w:after="0" w:line="240" w:lineRule="auto"/>
        <w:rPr>
          <w:rFonts w:ascii="Times New Roman" w:hAnsi="Times New Roman" w:cs="Times New Roman"/>
          <w:lang w:val="sv-SE"/>
        </w:rPr>
      </w:pPr>
    </w:p>
    <w:p w14:paraId="3B5166FC"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Vid bedömningen av idrottsutbildningens elitidrottskaraktär ska SF bedöma den egna idrottens behov (i relation till idrottsrörelsens mål om fler idrottsliga framgångar internationellt) gällande antal elevplatser och antal NIU, inklusive deras geografiska spridning över landet.</w:t>
      </w:r>
    </w:p>
    <w:p w14:paraId="3CE8AB63" w14:textId="77777777" w:rsidR="006A2480" w:rsidRPr="006A2480" w:rsidRDefault="006A2480" w:rsidP="006A2480">
      <w:pPr>
        <w:spacing w:after="0" w:line="240" w:lineRule="auto"/>
        <w:rPr>
          <w:rFonts w:ascii="Times New Roman" w:hAnsi="Times New Roman" w:cs="Times New Roman"/>
          <w:lang w:val="sv-SE"/>
        </w:rPr>
      </w:pPr>
    </w:p>
    <w:p w14:paraId="4503C6A3" w14:textId="77777777" w:rsidR="006A2480" w:rsidRPr="006A2480" w:rsidRDefault="006A2480" w:rsidP="006A2480">
      <w:pPr>
        <w:pStyle w:val="Rubrik2"/>
        <w:spacing w:before="0" w:after="0"/>
        <w:rPr>
          <w:rFonts w:ascii="Times New Roman" w:hAnsi="Times New Roman" w:cs="Times New Roman"/>
        </w:rPr>
      </w:pPr>
      <w:r w:rsidRPr="006A2480">
        <w:rPr>
          <w:rFonts w:ascii="Times New Roman" w:hAnsi="Times New Roman" w:cs="Times New Roman"/>
        </w:rPr>
        <w:t xml:space="preserve">Elevens förutsättningar </w:t>
      </w:r>
    </w:p>
    <w:p w14:paraId="3CE8349B"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En elev som kommer från en kommun som inte erbjuder ett visst program, själv eller genom samverkan med annan kommun</w:t>
      </w:r>
      <w:r w:rsidRPr="006A2480">
        <w:rPr>
          <w:rFonts w:ascii="Times New Roman" w:hAnsi="Times New Roman" w:cs="Times New Roman"/>
          <w:vertAlign w:val="superscript"/>
        </w:rPr>
        <w:footnoteReference w:id="4"/>
      </w:r>
      <w:r w:rsidRPr="006A2480">
        <w:rPr>
          <w:rFonts w:ascii="Times New Roman" w:hAnsi="Times New Roman" w:cs="Times New Roman"/>
          <w:lang w:val="sv-SE"/>
        </w:rPr>
        <w:t xml:space="preserve">  tas, liksom elever från anordnarkommunen och dess samverkansområde för utbildningen, emot i första hand. Det ger också rätt till inackorderingstillägg för den som behöver det på grund av avståndet till egna bostaden. </w:t>
      </w:r>
    </w:p>
    <w:p w14:paraId="465B17F7" w14:textId="77777777" w:rsidR="006A2480" w:rsidRPr="006A2480" w:rsidRDefault="006A2480" w:rsidP="006A2480">
      <w:pPr>
        <w:spacing w:after="0" w:line="240" w:lineRule="auto"/>
        <w:rPr>
          <w:rFonts w:ascii="Times New Roman" w:hAnsi="Times New Roman" w:cs="Times New Roman"/>
          <w:sz w:val="10"/>
          <w:szCs w:val="10"/>
          <w:lang w:val="sv-SE"/>
        </w:rPr>
      </w:pPr>
    </w:p>
    <w:p w14:paraId="3336EC89"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Elev som kommer från en kommun som erbjuder det program eleven avser att gå på NIU-orten tas emot i andra hand, utan rätt till inackorderingstillägg. Det gäller oavsett om hemkommunen erbjuder programmet i egen regi eller genom samverkan med annan kommun. </w:t>
      </w:r>
    </w:p>
    <w:p w14:paraId="08717785" w14:textId="77777777" w:rsidR="006A2480" w:rsidRPr="006A2480" w:rsidRDefault="006A2480" w:rsidP="006A2480">
      <w:pPr>
        <w:spacing w:after="0" w:line="240" w:lineRule="auto"/>
        <w:rPr>
          <w:rFonts w:ascii="Times New Roman" w:hAnsi="Times New Roman" w:cs="Times New Roman"/>
          <w:sz w:val="10"/>
          <w:szCs w:val="10"/>
          <w:lang w:val="sv-SE"/>
        </w:rPr>
      </w:pPr>
    </w:p>
    <w:p w14:paraId="5D1D0F85" w14:textId="2FB3312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Stöd till inackordering regleras av Skollagen, 15 kap. §32 för gymnasieskola med offentlig huvudman, för fristående gymnasieskola av CSN (</w:t>
      </w:r>
      <w:hyperlink r:id="rId11" w:history="1">
        <w:r w:rsidRPr="006A2480">
          <w:rPr>
            <w:rStyle w:val="Hyperlnk"/>
            <w:rFonts w:ascii="Times New Roman" w:hAnsi="Times New Roman" w:cs="Times New Roman"/>
            <w:lang w:val="sv-SE"/>
          </w:rPr>
          <w:t>http://www.csn.se/komv-folkh-gymn/studiehjalp/hur-mycket-kan-du-fa/inackorderingstillagg/utbildningar-1.2846</w:t>
        </w:r>
      </w:hyperlink>
      <w:r w:rsidRPr="006A2480">
        <w:rPr>
          <w:rFonts w:ascii="Times New Roman" w:hAnsi="Times New Roman" w:cs="Times New Roman"/>
          <w:lang w:val="sv-SE"/>
        </w:rPr>
        <w:t xml:space="preserve">). </w:t>
      </w:r>
    </w:p>
    <w:p w14:paraId="3EE953A8"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Interkommunal ersättning samt ersättning från kommun till fristående huvudmän regleras av skollagen 16 kap. §§ 50–55.</w:t>
      </w:r>
    </w:p>
    <w:p w14:paraId="183B34EB" w14:textId="77777777" w:rsidR="006A2480" w:rsidRPr="006A2480" w:rsidRDefault="006A2480" w:rsidP="006A2480">
      <w:pPr>
        <w:spacing w:after="0" w:line="240" w:lineRule="auto"/>
        <w:rPr>
          <w:rFonts w:ascii="Times New Roman" w:hAnsi="Times New Roman" w:cs="Times New Roman"/>
          <w:lang w:val="sv-SE"/>
        </w:rPr>
      </w:pPr>
    </w:p>
    <w:p w14:paraId="3269C987" w14:textId="77777777" w:rsidR="006A2480" w:rsidRPr="006A2480" w:rsidRDefault="006A2480" w:rsidP="006A2480">
      <w:pPr>
        <w:spacing w:after="0" w:line="240" w:lineRule="auto"/>
        <w:rPr>
          <w:rFonts w:ascii="Times New Roman" w:hAnsi="Times New Roman" w:cs="Times New Roman"/>
          <w:b/>
          <w:lang w:val="sv-SE"/>
        </w:rPr>
      </w:pPr>
      <w:r w:rsidRPr="006A2480">
        <w:rPr>
          <w:rFonts w:ascii="Times New Roman" w:hAnsi="Times New Roman" w:cs="Times New Roman"/>
          <w:b/>
          <w:lang w:val="sv-SE"/>
        </w:rPr>
        <w:t>Frivilliga särskilda samverkansavtal</w:t>
      </w:r>
    </w:p>
    <w:p w14:paraId="1F6515B0" w14:textId="7A0F566C" w:rsid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Sveriges kommuner och Landsting (SKL) har i samråd med RF tagit fram ett dokument </w:t>
      </w:r>
      <w:hyperlink r:id="rId12" w:history="1">
        <w:r w:rsidRPr="006A2480">
          <w:rPr>
            <w:rStyle w:val="Hyperlnk"/>
            <w:rFonts w:ascii="Times New Roman" w:hAnsi="Times New Roman" w:cs="Times New Roman"/>
            <w:lang w:val="sv-SE"/>
          </w:rPr>
          <w:t>http://www.svenskidrott.se/globalassets/svenskidrott/dokument/undersidor/idrottsgymnasium/samverkande-avtal-dok.pdf</w:t>
        </w:r>
      </w:hyperlink>
      <w:r w:rsidRPr="006A2480">
        <w:rPr>
          <w:rFonts w:ascii="Times New Roman" w:hAnsi="Times New Roman" w:cs="Times New Roman"/>
          <w:lang w:val="sv-SE"/>
        </w:rPr>
        <w:t xml:space="preserve"> gällande möjligheten till frivilliga särskilda samverkansavtal för NIU som reglerar förstahandsmottagning, inackorderingsersättning samt en rekommendation att överväga tillkommande ekonomiskt stöd för merkostnader som uppstår i ämnet specialidrott. Frivilliga särskilda samverkansavtal gällande NIU finns tecknade mellan ett stort antal kommuner runt om i landet. </w:t>
      </w:r>
    </w:p>
    <w:p w14:paraId="39737408" w14:textId="77777777" w:rsidR="006A2480" w:rsidRDefault="006A2480">
      <w:pPr>
        <w:rPr>
          <w:rFonts w:ascii="Times New Roman" w:hAnsi="Times New Roman" w:cs="Times New Roman"/>
          <w:lang w:val="sv-SE"/>
        </w:rPr>
      </w:pPr>
      <w:r>
        <w:rPr>
          <w:rFonts w:ascii="Times New Roman" w:hAnsi="Times New Roman" w:cs="Times New Roman"/>
          <w:lang w:val="sv-SE"/>
        </w:rPr>
        <w:br w:type="page"/>
      </w:r>
    </w:p>
    <w:p w14:paraId="3A888F71" w14:textId="77777777" w:rsidR="006A2480" w:rsidRPr="006A2480" w:rsidRDefault="006A2480" w:rsidP="006A2480">
      <w:pPr>
        <w:pStyle w:val="Rubrik2"/>
        <w:spacing w:before="0" w:after="0"/>
        <w:rPr>
          <w:rFonts w:ascii="Times New Roman" w:hAnsi="Times New Roman" w:cs="Times New Roman"/>
        </w:rPr>
      </w:pPr>
      <w:r w:rsidRPr="006A2480">
        <w:rPr>
          <w:rFonts w:ascii="Times New Roman" w:hAnsi="Times New Roman" w:cs="Times New Roman"/>
        </w:rPr>
        <w:lastRenderedPageBreak/>
        <w:t xml:space="preserve">Vägledande faktorer för SF:s tillstyrkan  </w:t>
      </w:r>
    </w:p>
    <w:p w14:paraId="23F3C1A9"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För att vägleda SF i bedömningen av elitidrottskaraktär och relevant SF-samarbete anges nedan ett antal områden som SF har att bedöma. </w:t>
      </w:r>
    </w:p>
    <w:p w14:paraId="5959418A" w14:textId="77777777" w:rsidR="006A2480" w:rsidRPr="006A2480" w:rsidRDefault="006A2480" w:rsidP="006A2480">
      <w:pPr>
        <w:spacing w:after="0" w:line="240" w:lineRule="auto"/>
        <w:rPr>
          <w:rFonts w:ascii="Times New Roman" w:hAnsi="Times New Roman" w:cs="Times New Roman"/>
          <w:lang w:val="sv-SE"/>
        </w:rPr>
      </w:pPr>
    </w:p>
    <w:p w14:paraId="50344078"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t xml:space="preserve">Idrottsvänlig skola </w:t>
      </w:r>
    </w:p>
    <w:p w14:paraId="7F9A26AA"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En idrottsvänlig skola är en miljö som underlättar för elever som vill kombinera sin elitidrottssatsning med gymnasiestudier. Detta ställer krav på förståelse för individens situation och mål. För optimal elitidrottsutveckling är det viktigt med god planering och schemaläggning av praktik, teori och återhämtning. Här behöver också vägas in elevernas tid till återhämtning inför eftermiddagens/kvällens träning som sker utanför skoltid (se samverkan med förening och anläggning nedan). Respektive SF har att bedöma och </w:t>
      </w:r>
      <w:proofErr w:type="spellStart"/>
      <w:r w:rsidRPr="006A2480">
        <w:rPr>
          <w:rFonts w:ascii="Times New Roman" w:hAnsi="Times New Roman" w:cs="Times New Roman"/>
          <w:lang w:val="sv-SE"/>
        </w:rPr>
        <w:t>rådgiva</w:t>
      </w:r>
      <w:proofErr w:type="spellEnd"/>
      <w:r w:rsidRPr="006A2480">
        <w:rPr>
          <w:rFonts w:ascii="Times New Roman" w:hAnsi="Times New Roman" w:cs="Times New Roman"/>
          <w:lang w:val="sv-SE"/>
        </w:rPr>
        <w:t xml:space="preserve"> kring förutsättningarna för just sina aktiva och sin idrott vad gäller tränings- och tävlingsbelastning, återhämtning och tid till skolarbete.</w:t>
      </w:r>
    </w:p>
    <w:p w14:paraId="57CA3740" w14:textId="77777777" w:rsidR="006A2480" w:rsidRPr="006A2480" w:rsidRDefault="006A2480" w:rsidP="006A2480">
      <w:pPr>
        <w:spacing w:after="0" w:line="240" w:lineRule="auto"/>
        <w:rPr>
          <w:rFonts w:ascii="Times New Roman" w:hAnsi="Times New Roman" w:cs="Times New Roman"/>
          <w:lang w:val="sv-SE"/>
        </w:rPr>
      </w:pPr>
    </w:p>
    <w:p w14:paraId="03B676E2"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För att eleven ska kunna satsa på både skolan och idrotten är det viktigt att det finns möjlighet för eleven att välja på flera olika program på gymnasieskolan.  </w:t>
      </w:r>
    </w:p>
    <w:p w14:paraId="09FB6D68" w14:textId="77777777" w:rsidR="006A2480" w:rsidRPr="006A2480" w:rsidRDefault="006A2480" w:rsidP="006A2480">
      <w:pPr>
        <w:spacing w:after="0" w:line="240" w:lineRule="auto"/>
        <w:rPr>
          <w:rFonts w:ascii="Times New Roman" w:hAnsi="Times New Roman" w:cs="Times New Roman"/>
          <w:lang w:val="sv-SE"/>
        </w:rPr>
      </w:pPr>
    </w:p>
    <w:p w14:paraId="0DA0F631"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t xml:space="preserve">Träningsmiljö i NIU-verksamheten </w:t>
      </w:r>
    </w:p>
    <w:p w14:paraId="73116D3F"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En bra utvecklingsmiljö är en viktig del för alla elever på NIU, men vad som utgör en bra miljö skiljer sig åt mellan de olika idrotterna. Närhet och god tillgänglighet till kvalitativa och bra anläggningar med rätt utrustning är avgörande för en framgångsrik utveckling inom alla idrotter.  </w:t>
      </w:r>
    </w:p>
    <w:p w14:paraId="7E98F39B" w14:textId="77777777" w:rsidR="006A2480" w:rsidRPr="006A2480" w:rsidRDefault="006A2480" w:rsidP="006A2480">
      <w:pPr>
        <w:spacing w:after="0" w:line="240" w:lineRule="auto"/>
        <w:rPr>
          <w:rFonts w:ascii="Times New Roman" w:hAnsi="Times New Roman" w:cs="Times New Roman"/>
          <w:lang w:val="sv-SE"/>
        </w:rPr>
      </w:pPr>
    </w:p>
    <w:p w14:paraId="4CC68CE6"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Viktiga faktorer avseende utvecklingsmiljö, är: </w:t>
      </w:r>
    </w:p>
    <w:p w14:paraId="78183CAD" w14:textId="77777777" w:rsidR="006A2480" w:rsidRPr="006A2480" w:rsidRDefault="006A2480" w:rsidP="006A2480">
      <w:pPr>
        <w:pStyle w:val="Liststycke"/>
        <w:numPr>
          <w:ilvl w:val="0"/>
          <w:numId w:val="2"/>
        </w:numPr>
        <w:contextualSpacing/>
      </w:pPr>
      <w:r w:rsidRPr="006A2480">
        <w:t xml:space="preserve">Att huvudman erbjuder ändamålsenliga anläggningar och en god utvecklingsmiljö för den specifika idrotten, under hela läsåret.  </w:t>
      </w:r>
    </w:p>
    <w:p w14:paraId="54DCB2FB" w14:textId="77777777" w:rsidR="006A2480" w:rsidRPr="006A2480" w:rsidRDefault="006A2480" w:rsidP="006A2480">
      <w:pPr>
        <w:pStyle w:val="Liststycke"/>
        <w:numPr>
          <w:ilvl w:val="0"/>
          <w:numId w:val="2"/>
        </w:numPr>
        <w:contextualSpacing/>
      </w:pPr>
      <w:r w:rsidRPr="006A2480">
        <w:t xml:space="preserve">Att tillgång till träningsutrustning/hjälpmedel och läromedel finns för eleven. </w:t>
      </w:r>
    </w:p>
    <w:p w14:paraId="31CB2405" w14:textId="77777777" w:rsidR="006A2480" w:rsidRPr="006A2480" w:rsidRDefault="006A2480" w:rsidP="006A2480">
      <w:pPr>
        <w:pStyle w:val="Liststycke"/>
        <w:numPr>
          <w:ilvl w:val="0"/>
          <w:numId w:val="2"/>
        </w:numPr>
        <w:contextualSpacing/>
      </w:pPr>
      <w:r w:rsidRPr="006A2480">
        <w:t xml:space="preserve">Att det finns tillgång till ”sparring” med andra elitsatsande aktiva. </w:t>
      </w:r>
    </w:p>
    <w:p w14:paraId="5931AFAD" w14:textId="77777777" w:rsidR="006A2480" w:rsidRPr="006A2480" w:rsidRDefault="006A2480" w:rsidP="006A2480">
      <w:pPr>
        <w:spacing w:after="0" w:line="240" w:lineRule="auto"/>
        <w:rPr>
          <w:rFonts w:ascii="Times New Roman" w:hAnsi="Times New Roman" w:cs="Times New Roman"/>
          <w:lang w:val="sv-SE"/>
        </w:rPr>
      </w:pPr>
    </w:p>
    <w:p w14:paraId="622D7436" w14:textId="77777777" w:rsidR="006A2480" w:rsidRPr="006A2480" w:rsidRDefault="006A2480" w:rsidP="006A2480">
      <w:pPr>
        <w:spacing w:after="0" w:line="240" w:lineRule="auto"/>
        <w:rPr>
          <w:rFonts w:ascii="Times New Roman" w:hAnsi="Times New Roman" w:cs="Times New Roman"/>
          <w:lang w:val="sv-SE"/>
        </w:rPr>
      </w:pPr>
    </w:p>
    <w:p w14:paraId="04D018D5"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t xml:space="preserve">Samverkan med förening och anläggning  </w:t>
      </w:r>
    </w:p>
    <w:p w14:paraId="3E55555B" w14:textId="6808700F"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Samverkan med föreningar och anläggningar är en viktig del i den utvecklingsmiljö NIU-verksamheten utgör. I den miljön spenderar eleven väldigt mycket tid. Eleven ska, utöver den schemalagda undervisningen, erbjudas möjlighet att träna och tävla i en elitförberedande miljö utanför skoltid under hela gymnasieutbildningen. </w:t>
      </w:r>
      <w:r>
        <w:rPr>
          <w:rFonts w:ascii="Times New Roman" w:hAnsi="Times New Roman" w:cs="Times New Roman"/>
          <w:lang w:val="sv-SE"/>
        </w:rPr>
        <w:br/>
      </w:r>
    </w:p>
    <w:p w14:paraId="6AB863D1"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t xml:space="preserve">Studieplan  </w:t>
      </w:r>
    </w:p>
    <w:p w14:paraId="3EDA2803"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Ämnet specialidrott anordnas inom ramen för individuellt val, programfördjupning och eventuellt utökat program. Huvudmannen (rektor) ansvarar för att den av Skolverket fastställda studieplanen för ämnet specialidrott följs och genomförs. Skolverkets generella studieplan konkretiseras av respektive SF i en SF-specifik studieplan. Verksamheten anordnas integrerat i en gymnasieutbildning och idrottssatsning. </w:t>
      </w:r>
    </w:p>
    <w:p w14:paraId="523DC1D2" w14:textId="77777777" w:rsidR="006A2480" w:rsidRPr="006A2480" w:rsidRDefault="006A2480" w:rsidP="006A2480">
      <w:pPr>
        <w:spacing w:after="0" w:line="240" w:lineRule="auto"/>
        <w:rPr>
          <w:rFonts w:ascii="Times New Roman" w:hAnsi="Times New Roman" w:cs="Times New Roman"/>
          <w:lang w:val="sv-SE"/>
        </w:rPr>
      </w:pPr>
    </w:p>
    <w:p w14:paraId="2641811D"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t xml:space="preserve">Lärartäthet  </w:t>
      </w:r>
    </w:p>
    <w:p w14:paraId="3A02F79F"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Under den idrottsspecifika delen i ämnet specialidrott bör man tillse att elevgruppen inte är för stor. Lärartätheten har en stark koppling till vilka moment/kunskapsområden som bedrivs (lärartätheten kan tex vara mindre vid föreläsningar av allmän karaktär). Vid grenspecifika moment i ämnet specialidrott där coachning av eleven är viktig, är en högre lärartäthet att föredra.  </w:t>
      </w:r>
    </w:p>
    <w:p w14:paraId="1EE2708C" w14:textId="77777777" w:rsidR="006A2480" w:rsidRDefault="006A2480" w:rsidP="006A2480">
      <w:pPr>
        <w:spacing w:after="0" w:line="240" w:lineRule="auto"/>
        <w:rPr>
          <w:rFonts w:ascii="Times New Roman" w:hAnsi="Times New Roman" w:cs="Times New Roman"/>
          <w:lang w:val="sv-SE"/>
        </w:rPr>
      </w:pPr>
    </w:p>
    <w:p w14:paraId="4F274D2A" w14:textId="77777777" w:rsidR="0008022C" w:rsidRPr="006A2480" w:rsidRDefault="0008022C" w:rsidP="006A2480">
      <w:pPr>
        <w:spacing w:after="0" w:line="240" w:lineRule="auto"/>
        <w:rPr>
          <w:rFonts w:ascii="Times New Roman" w:hAnsi="Times New Roman" w:cs="Times New Roman"/>
          <w:lang w:val="sv-SE"/>
        </w:rPr>
      </w:pPr>
    </w:p>
    <w:p w14:paraId="70045FE8"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lastRenderedPageBreak/>
        <w:t xml:space="preserve">Idrottsspecifik lärarkompetens  </w:t>
      </w:r>
    </w:p>
    <w:p w14:paraId="72E03832"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För en framgångsrik utvecklingsmiljö för eleverna är välutbildade lärare viktiga. Dessutom finns behov av specialistkompetens inom grenspecifika kunskapsområden. Huvudmannen ansvarar för att eleven har tillgång till lärare med denna kompetens. SF inbjuder lärare till av SF arrangerande obligatoriska utbildningar och sammankomster.    </w:t>
      </w:r>
    </w:p>
    <w:p w14:paraId="1ED8CC2E" w14:textId="77777777" w:rsidR="006A2480" w:rsidRPr="0008022C" w:rsidRDefault="006A2480" w:rsidP="006A2480">
      <w:pPr>
        <w:spacing w:after="0" w:line="240" w:lineRule="auto"/>
        <w:rPr>
          <w:rFonts w:ascii="Times New Roman" w:hAnsi="Times New Roman" w:cs="Times New Roman"/>
          <w:sz w:val="10"/>
          <w:szCs w:val="10"/>
          <w:lang w:val="sv-SE"/>
        </w:rPr>
      </w:pPr>
    </w:p>
    <w:p w14:paraId="7E1DB77B"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t xml:space="preserve">Ett etablerat samarbete med ett specialidrottsförbund som är relevant för utbildningen  </w:t>
      </w:r>
    </w:p>
    <w:p w14:paraId="5514E16B"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En bra NIU-verksamhet har eleven och dess elitidrottsutveckling i fokus i en miljö som främjar lärande och utveckling. NIU-verksamhet ska vara strukturerad och präglas av en genomtänkt progression, en röd tråd.  </w:t>
      </w:r>
    </w:p>
    <w:p w14:paraId="1D18A9E7" w14:textId="77777777" w:rsidR="006A2480" w:rsidRPr="0008022C" w:rsidRDefault="006A2480" w:rsidP="006A2480">
      <w:pPr>
        <w:spacing w:after="0" w:line="240" w:lineRule="auto"/>
        <w:rPr>
          <w:rFonts w:ascii="Times New Roman" w:hAnsi="Times New Roman" w:cs="Times New Roman"/>
          <w:sz w:val="10"/>
          <w:szCs w:val="10"/>
          <w:lang w:val="sv-SE"/>
        </w:rPr>
      </w:pPr>
    </w:p>
    <w:p w14:paraId="30E35678" w14:textId="31C81615"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Rektor ansvarar för NIU och SF har ansvaret för att utifrån sina önskemål på verksamheten följa upp och utvärdera. Detta kan göras med verksamhetsbesök, enkäter och verksamhetsplaner. Syftet med SF:s etablerade samarbete är främst att systematiskt och långsiktigt utvärdera och förbättra den dagliga verksamheten inom NIU med fokus på den idrottsliga utvecklingen. SF ska utifrån detta kontinuerligt kunna göra bedömningar av den egna idrottens behov (i relation till idrottsrörelsens mål om fler idrottsliga framgångar internationellt) gällande antal elevplatser och antal NIU, inklusive deras geografiska spridning över landet.  </w:t>
      </w:r>
    </w:p>
    <w:p w14:paraId="1C7903C6" w14:textId="77777777" w:rsidR="006A2480" w:rsidRPr="0008022C" w:rsidRDefault="006A2480" w:rsidP="006A2480">
      <w:pPr>
        <w:spacing w:after="0" w:line="240" w:lineRule="auto"/>
        <w:rPr>
          <w:rFonts w:ascii="Times New Roman" w:hAnsi="Times New Roman" w:cs="Times New Roman"/>
          <w:sz w:val="10"/>
          <w:szCs w:val="10"/>
          <w:lang w:val="sv-SE"/>
        </w:rPr>
      </w:pPr>
    </w:p>
    <w:p w14:paraId="69929606" w14:textId="77777777" w:rsidR="006A2480" w:rsidRPr="006A2480" w:rsidRDefault="006A2480" w:rsidP="006A2480">
      <w:pPr>
        <w:spacing w:after="0" w:line="240" w:lineRule="auto"/>
        <w:rPr>
          <w:rFonts w:ascii="Times New Roman" w:hAnsi="Times New Roman" w:cs="Times New Roman"/>
          <w:b/>
          <w:u w:val="single"/>
          <w:lang w:val="sv-SE"/>
        </w:rPr>
      </w:pPr>
      <w:r w:rsidRPr="006A2480">
        <w:rPr>
          <w:rFonts w:ascii="Times New Roman" w:hAnsi="Times New Roman" w:cs="Times New Roman"/>
          <w:b/>
          <w:u w:val="single"/>
          <w:lang w:val="sv-SE"/>
        </w:rPr>
        <w:t xml:space="preserve">Resursnätverk kring elev </w:t>
      </w:r>
    </w:p>
    <w:p w14:paraId="74FA3728" w14:textId="652D7D85" w:rsidR="0008022C" w:rsidRPr="0008022C"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En god miljö för elitidrottsutveckling präglas av ett gott samarbete och en fungerande helhet mellan olika parter, till exempel mellan skola, idrott och familj. Det är också viktigt att det finns en stödapparat inom områden som idrottsmedicin, idrottspsykologi och idrottsfysiologi, inklusive idrottsnutrition. SF ska i sin tillstyrkan ta hänsyn till om huvudman, genom skolhälsovården och/eller i samråd med SF och samverkansföreningar, erbjuder kontakter till specialister på dessa områden, om behovet uppstår hos elev.</w:t>
      </w:r>
    </w:p>
    <w:p w14:paraId="5E9715D5" w14:textId="77777777" w:rsidR="0008022C" w:rsidRPr="006A2480" w:rsidRDefault="0008022C" w:rsidP="006A2480">
      <w:pPr>
        <w:spacing w:after="0" w:line="240" w:lineRule="auto"/>
        <w:rPr>
          <w:rFonts w:ascii="Times New Roman" w:hAnsi="Times New Roman" w:cs="Times New Roman"/>
          <w:lang w:val="sv-SE"/>
        </w:rPr>
      </w:pPr>
    </w:p>
    <w:p w14:paraId="02E8DA65" w14:textId="77777777" w:rsidR="006A2480" w:rsidRPr="0008022C" w:rsidRDefault="006A2480" w:rsidP="006A2480">
      <w:pPr>
        <w:pStyle w:val="Rubrik2"/>
        <w:spacing w:before="0" w:after="0"/>
        <w:rPr>
          <w:rFonts w:ascii="Times New Roman" w:hAnsi="Times New Roman" w:cs="Times New Roman"/>
          <w:sz w:val="28"/>
          <w:szCs w:val="28"/>
        </w:rPr>
      </w:pPr>
      <w:r w:rsidRPr="0008022C">
        <w:rPr>
          <w:rFonts w:ascii="Times New Roman" w:hAnsi="Times New Roman" w:cs="Times New Roman"/>
          <w:sz w:val="28"/>
          <w:szCs w:val="28"/>
        </w:rPr>
        <w:t xml:space="preserve">Idrottsrörelsens jämställdhetsmål </w:t>
      </w:r>
    </w:p>
    <w:p w14:paraId="3A0F0133"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I idrottsrörelsens jämställdhetsmål, att uppnå 2025 står bland annat följande: </w:t>
      </w:r>
    </w:p>
    <w:p w14:paraId="6CADD752" w14:textId="77777777" w:rsidR="006A2480" w:rsidRPr="006A2480" w:rsidRDefault="006A2480" w:rsidP="006A2480">
      <w:pPr>
        <w:spacing w:after="0" w:line="240" w:lineRule="auto"/>
        <w:rPr>
          <w:rFonts w:ascii="Times New Roman" w:hAnsi="Times New Roman" w:cs="Times New Roman"/>
          <w:lang w:val="sv-SE"/>
        </w:rPr>
      </w:pPr>
    </w:p>
    <w:p w14:paraId="642A54CE" w14:textId="77777777" w:rsidR="006A2480" w:rsidRPr="006A2480" w:rsidRDefault="006A2480" w:rsidP="006A2480">
      <w:pPr>
        <w:pStyle w:val="Liststycke"/>
        <w:numPr>
          <w:ilvl w:val="0"/>
          <w:numId w:val="3"/>
        </w:numPr>
        <w:ind w:left="360"/>
        <w:contextualSpacing/>
      </w:pPr>
      <w:r w:rsidRPr="006A2480">
        <w:t xml:space="preserve">Det ska finnas lika möjligheter för alla, oavsett kön, att utöva och leda idrott. Idrotten ska utforma verksamheten så att den ger alla som deltar en trygg gemenskap. </w:t>
      </w:r>
    </w:p>
    <w:p w14:paraId="470451F4" w14:textId="77777777" w:rsidR="006A2480" w:rsidRPr="006A2480" w:rsidRDefault="006A2480" w:rsidP="006A2480">
      <w:pPr>
        <w:pStyle w:val="Liststycke"/>
        <w:numPr>
          <w:ilvl w:val="0"/>
          <w:numId w:val="3"/>
        </w:numPr>
        <w:ind w:left="360"/>
        <w:contextualSpacing/>
      </w:pPr>
      <w:r w:rsidRPr="006A2480">
        <w:t xml:space="preserve">Flickor och pojkar, kvinnor och män, ges lika möjligheter och villkor att utöva och leda idrott.  Det kräver att resurserna fördelas likvärdigt och rättvist till flickors och pojkars samt kvinnors och mäns idrottande. Båda könen ska ha tillgång till kompetenta tränare och ledare samt likvärdiga förutsättningar för träning och tävling, såsom tillgång till anläggningar, träningstider och ekonomiska resurser. Kvinnor och män, flickor och pojkar ska i större utsträckning ges förutsättningar att träna och tävla tillsammans. </w:t>
      </w:r>
    </w:p>
    <w:p w14:paraId="0BC8E5CB" w14:textId="77777777" w:rsidR="006A2480" w:rsidRPr="006A2480" w:rsidRDefault="006A2480" w:rsidP="006A2480">
      <w:pPr>
        <w:pStyle w:val="Liststycke"/>
        <w:numPr>
          <w:ilvl w:val="0"/>
          <w:numId w:val="3"/>
        </w:numPr>
        <w:ind w:left="360"/>
        <w:contextualSpacing/>
      </w:pPr>
      <w:r w:rsidRPr="006A2480">
        <w:t xml:space="preserve">Kvinnors och mäns, flickors och pojkars idrottsutövning värderas lika och prioriteras på ett likvärdigt sätt. Det innebär till exempel att kvinnors och mäns idrottsutövning tilldelas resurser efter samma principer och att idrottsrörelsen ger kvinnors och mäns idrottande samma uppmärksamhet i forskning, utbildning och kommunikation. </w:t>
      </w:r>
    </w:p>
    <w:p w14:paraId="352462A8" w14:textId="77777777" w:rsidR="006A2480" w:rsidRPr="0008022C" w:rsidRDefault="006A2480" w:rsidP="006A2480">
      <w:pPr>
        <w:spacing w:after="0" w:line="240" w:lineRule="auto"/>
        <w:rPr>
          <w:rFonts w:ascii="Times New Roman" w:hAnsi="Times New Roman" w:cs="Times New Roman"/>
          <w:sz w:val="12"/>
          <w:szCs w:val="12"/>
          <w:lang w:val="sv-SE"/>
        </w:rPr>
      </w:pPr>
    </w:p>
    <w:p w14:paraId="4FE98C90" w14:textId="77777777" w:rsidR="006A2480" w:rsidRPr="006A2480" w:rsidRDefault="006A2480" w:rsidP="006A2480">
      <w:pPr>
        <w:spacing w:after="0" w:line="240" w:lineRule="auto"/>
        <w:rPr>
          <w:rFonts w:ascii="Times New Roman" w:hAnsi="Times New Roman" w:cs="Times New Roman"/>
          <w:b/>
          <w:lang w:val="sv-SE"/>
        </w:rPr>
      </w:pPr>
      <w:r w:rsidRPr="006A2480">
        <w:rPr>
          <w:rFonts w:ascii="Times New Roman" w:hAnsi="Times New Roman" w:cs="Times New Roman"/>
          <w:b/>
          <w:lang w:val="sv-SE"/>
        </w:rPr>
        <w:t xml:space="preserve">Vidare fastslås som delmål: </w:t>
      </w:r>
    </w:p>
    <w:p w14:paraId="4DC25FBB" w14:textId="77777777"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Idrottsrörelsen ska på alla nivåer arbeta målmedvetet så att till RF-stämman 2025: </w:t>
      </w:r>
    </w:p>
    <w:p w14:paraId="34DF6698" w14:textId="77777777" w:rsidR="006A2480" w:rsidRPr="006A2480" w:rsidRDefault="006A2480" w:rsidP="006A2480">
      <w:pPr>
        <w:pStyle w:val="Liststycke"/>
        <w:numPr>
          <w:ilvl w:val="0"/>
          <w:numId w:val="4"/>
        </w:numPr>
        <w:contextualSpacing/>
      </w:pPr>
      <w:r w:rsidRPr="006A2480">
        <w:t xml:space="preserve">andelen kvinnliga och manliga tränare inom respektive idrott uppgår till minst 40 procent: </w:t>
      </w:r>
    </w:p>
    <w:p w14:paraId="796FB101" w14:textId="77777777" w:rsidR="006A2480" w:rsidRPr="006A2480" w:rsidRDefault="006A2480" w:rsidP="006A2480">
      <w:pPr>
        <w:pStyle w:val="Liststycke"/>
        <w:numPr>
          <w:ilvl w:val="1"/>
          <w:numId w:val="4"/>
        </w:numPr>
        <w:contextualSpacing/>
      </w:pPr>
      <w:r w:rsidRPr="006A2480">
        <w:t>inom barn- och ungdomsverksamheten på föreningsnivån</w:t>
      </w:r>
    </w:p>
    <w:p w14:paraId="4CE660C2" w14:textId="77777777" w:rsidR="006A2480" w:rsidRPr="006A2480" w:rsidRDefault="006A2480" w:rsidP="006A2480">
      <w:pPr>
        <w:pStyle w:val="Liststycke"/>
        <w:numPr>
          <w:ilvl w:val="1"/>
          <w:numId w:val="4"/>
        </w:numPr>
        <w:contextualSpacing/>
      </w:pPr>
      <w:r w:rsidRPr="006A2480">
        <w:t>vid riksidrottsgymnasierna (RIG)</w:t>
      </w:r>
    </w:p>
    <w:p w14:paraId="3D1AD3CF" w14:textId="77777777" w:rsidR="006A2480" w:rsidRPr="006A2480" w:rsidRDefault="006A2480" w:rsidP="006A2480">
      <w:pPr>
        <w:pStyle w:val="Liststycke"/>
        <w:numPr>
          <w:ilvl w:val="1"/>
          <w:numId w:val="4"/>
        </w:numPr>
        <w:contextualSpacing/>
      </w:pPr>
      <w:r w:rsidRPr="006A2480">
        <w:t>vid nationellt godkända idrottsutbildningar (NIU)</w:t>
      </w:r>
    </w:p>
    <w:p w14:paraId="493C842A" w14:textId="77777777" w:rsidR="006A2480" w:rsidRPr="006A2480" w:rsidRDefault="006A2480" w:rsidP="006A2480">
      <w:pPr>
        <w:pStyle w:val="Liststycke"/>
        <w:numPr>
          <w:ilvl w:val="1"/>
          <w:numId w:val="4"/>
        </w:numPr>
        <w:contextualSpacing/>
      </w:pPr>
      <w:r w:rsidRPr="006A2480">
        <w:t>vid SF:s landslagsverksamhet</w:t>
      </w:r>
    </w:p>
    <w:p w14:paraId="31A7228A" w14:textId="77777777" w:rsidR="006A2480" w:rsidRPr="006A2480" w:rsidRDefault="006A2480" w:rsidP="006A2480">
      <w:pPr>
        <w:spacing w:after="0" w:line="240" w:lineRule="auto"/>
        <w:rPr>
          <w:rFonts w:ascii="Times New Roman" w:hAnsi="Times New Roman" w:cs="Times New Roman"/>
        </w:rPr>
      </w:pPr>
    </w:p>
    <w:p w14:paraId="5536BAB6" w14:textId="29C969C2" w:rsidR="006A2480" w:rsidRPr="006A2480" w:rsidRDefault="006A2480" w:rsidP="006A2480">
      <w:pPr>
        <w:spacing w:after="0" w:line="240" w:lineRule="auto"/>
        <w:rPr>
          <w:rFonts w:ascii="Times New Roman" w:hAnsi="Times New Roman" w:cs="Times New Roman"/>
          <w:lang w:val="sv-SE"/>
        </w:rPr>
      </w:pPr>
      <w:r w:rsidRPr="006A2480">
        <w:rPr>
          <w:rFonts w:ascii="Times New Roman" w:hAnsi="Times New Roman" w:cs="Times New Roman"/>
          <w:lang w:val="sv-SE"/>
        </w:rPr>
        <w:t xml:space="preserve">SF ska i sin tillstyrkan ta hänsyn till och verka för att idrottsrörelsens jämställdhetsmål uppfylls. </w:t>
      </w:r>
      <w:r w:rsidRPr="006A2480">
        <w:rPr>
          <w:rFonts w:ascii="Times New Roman" w:hAnsi="Times New Roman" w:cs="Times New Roman"/>
          <w:lang w:val="sv-SE"/>
        </w:rPr>
        <w:br w:type="page"/>
      </w:r>
    </w:p>
    <w:p w14:paraId="2FA5BB79" w14:textId="2EEAEE2D" w:rsidR="006A2480" w:rsidRPr="0008022C" w:rsidRDefault="006A2480" w:rsidP="006A2480">
      <w:pPr>
        <w:pStyle w:val="Rubrik1"/>
        <w:spacing w:before="0" w:after="0"/>
        <w:rPr>
          <w:rFonts w:ascii="Times New Roman" w:hAnsi="Times New Roman" w:cs="Times New Roman"/>
          <w:sz w:val="10"/>
          <w:szCs w:val="12"/>
        </w:rPr>
      </w:pPr>
      <w:r w:rsidRPr="006A2480">
        <w:rPr>
          <w:rFonts w:ascii="Times New Roman" w:hAnsi="Times New Roman" w:cs="Times New Roman"/>
        </w:rPr>
        <w:lastRenderedPageBreak/>
        <w:t xml:space="preserve">Lärarlegitimation för NIU-tränare </w:t>
      </w:r>
      <w:r w:rsidR="0008022C">
        <w:rPr>
          <w:rFonts w:ascii="Times New Roman" w:hAnsi="Times New Roman" w:cs="Times New Roman"/>
        </w:rPr>
        <w:br/>
      </w:r>
    </w:p>
    <w:p w14:paraId="0415E541" w14:textId="05BFFEC1" w:rsidR="006A2480" w:rsidRPr="0008022C" w:rsidRDefault="006A2480" w:rsidP="006A2480">
      <w:pPr>
        <w:pStyle w:val="Normalwebb"/>
        <w:spacing w:before="0" w:beforeAutospacing="0" w:after="0" w:afterAutospacing="0"/>
        <w:rPr>
          <w:sz w:val="10"/>
          <w:szCs w:val="10"/>
        </w:rPr>
      </w:pPr>
      <w:r w:rsidRPr="006A2480">
        <w:t xml:space="preserve">I januari 2017 tog Skolverket beslut om att </w:t>
      </w:r>
      <w:proofErr w:type="spellStart"/>
      <w:r w:rsidRPr="006A2480">
        <w:t>omklassificera</w:t>
      </w:r>
      <w:proofErr w:type="spellEnd"/>
      <w:r w:rsidRPr="006A2480">
        <w:t xml:space="preserve"> ämnet ”specialidrott” från ett yrkesämne till ett ”</w:t>
      </w:r>
      <w:proofErr w:type="gramStart"/>
      <w:r w:rsidRPr="006A2480">
        <w:t>vissa ämne</w:t>
      </w:r>
      <w:proofErr w:type="gramEnd"/>
      <w:r w:rsidRPr="006A2480">
        <w:t xml:space="preserve">”. Detta innebär att specialidrottslärare som tillsvidareanställs vid riksidrottsgymnasier och nationella idrottsutbildningar måste inneha lärarlegitimation för att kunna bli anställda. </w:t>
      </w:r>
      <w:r w:rsidRPr="006A2480">
        <w:rPr>
          <w:b/>
          <w:bCs/>
        </w:rPr>
        <w:t>Reglerna börjar gälla från och med den 1 juli 2017.</w:t>
      </w:r>
      <w:r w:rsidRPr="006A2480">
        <w:t xml:space="preserve"> De nya reglerna innebär följande för idag anställda specialidrottslärare vid ett RIG eller NIU: </w:t>
      </w:r>
      <w:r w:rsidR="0008022C">
        <w:br/>
      </w:r>
    </w:p>
    <w:p w14:paraId="5708AF5A" w14:textId="77777777" w:rsidR="006A2480" w:rsidRPr="006A2480" w:rsidRDefault="006A2480" w:rsidP="006A2480">
      <w:pPr>
        <w:numPr>
          <w:ilvl w:val="0"/>
          <w:numId w:val="5"/>
        </w:numPr>
        <w:spacing w:after="0" w:line="240" w:lineRule="auto"/>
        <w:rPr>
          <w:rFonts w:ascii="Times New Roman" w:hAnsi="Times New Roman" w:cs="Times New Roman"/>
        </w:rPr>
      </w:pPr>
      <w:r w:rsidRPr="006A2480">
        <w:rPr>
          <w:rFonts w:ascii="Times New Roman" w:hAnsi="Times New Roman" w:cs="Times New Roman"/>
          <w:lang w:val="sv-SE"/>
        </w:rPr>
        <w:t xml:space="preserve">Är du tillsvidareanställd och innehar en lärarlegitimation? – Då uppfyller du kraven och behöver endast ansöka om att utökad behörighet i ämnet specialidrott. </w:t>
      </w:r>
      <w:proofErr w:type="spellStart"/>
      <w:r w:rsidRPr="006A2480">
        <w:rPr>
          <w:rFonts w:ascii="Times New Roman" w:hAnsi="Times New Roman" w:cs="Times New Roman"/>
        </w:rPr>
        <w:t>Ansökan</w:t>
      </w:r>
      <w:proofErr w:type="spellEnd"/>
      <w:r w:rsidRPr="006A2480">
        <w:rPr>
          <w:rFonts w:ascii="Times New Roman" w:hAnsi="Times New Roman" w:cs="Times New Roman"/>
        </w:rPr>
        <w:t xml:space="preserve"> </w:t>
      </w:r>
      <w:proofErr w:type="spellStart"/>
      <w:r w:rsidRPr="006A2480">
        <w:rPr>
          <w:rFonts w:ascii="Times New Roman" w:hAnsi="Times New Roman" w:cs="Times New Roman"/>
        </w:rPr>
        <w:t>görs</w:t>
      </w:r>
      <w:proofErr w:type="spellEnd"/>
      <w:r w:rsidRPr="006A2480">
        <w:rPr>
          <w:rFonts w:ascii="Times New Roman" w:hAnsi="Times New Roman" w:cs="Times New Roman"/>
        </w:rPr>
        <w:t xml:space="preserve"> </w:t>
      </w:r>
      <w:proofErr w:type="spellStart"/>
      <w:r w:rsidRPr="006A2480">
        <w:rPr>
          <w:rFonts w:ascii="Times New Roman" w:hAnsi="Times New Roman" w:cs="Times New Roman"/>
        </w:rPr>
        <w:t>på</w:t>
      </w:r>
      <w:proofErr w:type="spellEnd"/>
      <w:r w:rsidRPr="006A2480">
        <w:rPr>
          <w:rFonts w:ascii="Times New Roman" w:hAnsi="Times New Roman" w:cs="Times New Roman"/>
        </w:rPr>
        <w:t xml:space="preserve"> </w:t>
      </w:r>
      <w:proofErr w:type="spellStart"/>
      <w:r w:rsidRPr="006A2480">
        <w:rPr>
          <w:rFonts w:ascii="Times New Roman" w:hAnsi="Times New Roman" w:cs="Times New Roman"/>
        </w:rPr>
        <w:t>länk</w:t>
      </w:r>
      <w:proofErr w:type="spellEnd"/>
      <w:r w:rsidRPr="006A2480">
        <w:rPr>
          <w:rFonts w:ascii="Times New Roman" w:hAnsi="Times New Roman" w:cs="Times New Roman"/>
        </w:rPr>
        <w:t xml:space="preserve"> via </w:t>
      </w:r>
      <w:hyperlink r:id="rId13" w:history="1">
        <w:proofErr w:type="spellStart"/>
        <w:r w:rsidRPr="006A2480">
          <w:rPr>
            <w:rStyle w:val="Hyperlnk"/>
            <w:rFonts w:ascii="Times New Roman" w:hAnsi="Times New Roman" w:cs="Times New Roman"/>
          </w:rPr>
          <w:t>Skolverkets</w:t>
        </w:r>
        <w:proofErr w:type="spellEnd"/>
        <w:r w:rsidRPr="006A2480">
          <w:rPr>
            <w:rStyle w:val="Hyperlnk"/>
            <w:rFonts w:ascii="Times New Roman" w:hAnsi="Times New Roman" w:cs="Times New Roman"/>
          </w:rPr>
          <w:t xml:space="preserve"> </w:t>
        </w:r>
        <w:proofErr w:type="spellStart"/>
        <w:r w:rsidRPr="006A2480">
          <w:rPr>
            <w:rStyle w:val="Hyperlnk"/>
            <w:rFonts w:ascii="Times New Roman" w:hAnsi="Times New Roman" w:cs="Times New Roman"/>
          </w:rPr>
          <w:t>hemsida</w:t>
        </w:r>
        <w:proofErr w:type="spellEnd"/>
      </w:hyperlink>
      <w:r w:rsidRPr="006A2480">
        <w:rPr>
          <w:rFonts w:ascii="Times New Roman" w:hAnsi="Times New Roman" w:cs="Times New Roman"/>
        </w:rPr>
        <w:t>.</w:t>
      </w:r>
    </w:p>
    <w:p w14:paraId="033BE724" w14:textId="319CF3C0" w:rsidR="006A2480" w:rsidRPr="006A2480" w:rsidRDefault="006A2480" w:rsidP="006A2480">
      <w:pPr>
        <w:numPr>
          <w:ilvl w:val="0"/>
          <w:numId w:val="5"/>
        </w:numPr>
        <w:spacing w:after="0" w:line="240" w:lineRule="auto"/>
        <w:rPr>
          <w:rFonts w:ascii="Times New Roman" w:hAnsi="Times New Roman" w:cs="Times New Roman"/>
          <w:lang w:val="sv-SE"/>
        </w:rPr>
      </w:pPr>
      <w:r w:rsidRPr="006A2480">
        <w:rPr>
          <w:rFonts w:ascii="Times New Roman" w:hAnsi="Times New Roman" w:cs="Times New Roman"/>
          <w:lang w:val="sv-SE"/>
        </w:rPr>
        <w:t>Är du redan tillsvidareanställd men innehar inte lärarlegitimation? – Du kommer inte att bli av med din anställning efter att de nya reglerna träder i kraft. Om du däremot av någon anledning avslutar din anställning och önskar söka en ny måste du kunna uppvisa lärarlegitimation för att kunna bli tillsvidareanställd på en ny skola.</w:t>
      </w:r>
      <w:r w:rsidR="0008022C">
        <w:rPr>
          <w:rFonts w:ascii="Times New Roman" w:hAnsi="Times New Roman" w:cs="Times New Roman"/>
          <w:lang w:val="sv-SE"/>
        </w:rPr>
        <w:br/>
      </w:r>
    </w:p>
    <w:p w14:paraId="2C1F0295" w14:textId="482A78C5" w:rsidR="006A2480" w:rsidRPr="0008022C" w:rsidRDefault="006A2480" w:rsidP="006A2480">
      <w:pPr>
        <w:pStyle w:val="Normalwebb"/>
        <w:spacing w:before="0" w:beforeAutospacing="0" w:after="0" w:afterAutospacing="0"/>
        <w:rPr>
          <w:sz w:val="10"/>
          <w:szCs w:val="10"/>
        </w:rPr>
      </w:pPr>
      <w:r w:rsidRPr="006A2480">
        <w:t xml:space="preserve"> De specialidrottslärare som tillhör kategori två ovan och inte har lärarlegitimation kommer under en övergångsperiod att få möjligheten att utbilda sig till behöriga specialidrottslärare via olika vägar beroende på vilken bakgrund de har. </w:t>
      </w:r>
      <w:r w:rsidR="0008022C">
        <w:br/>
      </w:r>
      <w:r w:rsidRPr="006A2480">
        <w:rPr>
          <w:b/>
          <w:bCs/>
        </w:rPr>
        <w:t xml:space="preserve">Övergångsperioden gäller fram till höstterminen 2019 då utbildningen måste vara påbörjad. </w:t>
      </w:r>
      <w:r w:rsidRPr="006A2480">
        <w:t>För att tydliggöra kan du alltså påbörja din utbildning senast höstterminen 2019 och fortfarande omfattas av övergångsreglerna även om du då slutför dina studier senare än 2019. Nedan ser ni vilka vägar som gäller för er att få behörighet som specialidrottslärare:</w:t>
      </w:r>
      <w:r w:rsidR="0008022C">
        <w:br/>
      </w:r>
    </w:p>
    <w:p w14:paraId="3CB2D1F1" w14:textId="77777777" w:rsidR="006A2480" w:rsidRPr="006A2480" w:rsidRDefault="006A2480" w:rsidP="006A2480">
      <w:pPr>
        <w:numPr>
          <w:ilvl w:val="0"/>
          <w:numId w:val="6"/>
        </w:numPr>
        <w:spacing w:after="0" w:line="240" w:lineRule="auto"/>
        <w:rPr>
          <w:rFonts w:ascii="Times New Roman" w:hAnsi="Times New Roman" w:cs="Times New Roman"/>
          <w:lang w:val="sv-SE"/>
        </w:rPr>
      </w:pPr>
      <w:r w:rsidRPr="006A2480">
        <w:rPr>
          <w:rFonts w:ascii="Times New Roman" w:hAnsi="Times New Roman" w:cs="Times New Roman"/>
          <w:lang w:val="sv-SE"/>
        </w:rPr>
        <w:t>Jag har ingen lärarexamen men har arbetat heltid som specialidrottslärare i mer än 8 år den senaste 15-</w:t>
      </w:r>
      <w:proofErr w:type="gramStart"/>
      <w:r w:rsidRPr="006A2480">
        <w:rPr>
          <w:rFonts w:ascii="Times New Roman" w:hAnsi="Times New Roman" w:cs="Times New Roman"/>
          <w:lang w:val="sv-SE"/>
        </w:rPr>
        <w:t>års perioden</w:t>
      </w:r>
      <w:proofErr w:type="gramEnd"/>
      <w:r w:rsidRPr="006A2480">
        <w:rPr>
          <w:rFonts w:ascii="Times New Roman" w:hAnsi="Times New Roman" w:cs="Times New Roman"/>
          <w:lang w:val="sv-SE"/>
        </w:rPr>
        <w:t xml:space="preserve"> (t.o.m. 31/6 2015) – Lärarbehörighet genom VAL (vidareutbildning av lärare) 30hp.</w:t>
      </w:r>
    </w:p>
    <w:p w14:paraId="332CE3CB" w14:textId="77777777" w:rsidR="006A2480" w:rsidRPr="006A2480" w:rsidRDefault="006A2480" w:rsidP="006A2480">
      <w:pPr>
        <w:numPr>
          <w:ilvl w:val="0"/>
          <w:numId w:val="6"/>
        </w:numPr>
        <w:spacing w:after="0" w:line="240" w:lineRule="auto"/>
        <w:rPr>
          <w:rFonts w:ascii="Times New Roman" w:hAnsi="Times New Roman" w:cs="Times New Roman"/>
          <w:lang w:val="sv-SE"/>
        </w:rPr>
      </w:pPr>
      <w:r w:rsidRPr="006A2480">
        <w:rPr>
          <w:rFonts w:ascii="Times New Roman" w:hAnsi="Times New Roman" w:cs="Times New Roman"/>
          <w:lang w:val="sv-SE"/>
        </w:rPr>
        <w:t xml:space="preserve">Jag har ingen lärarexamen men har arbetat heltid som specialidrottslärare i </w:t>
      </w:r>
      <w:proofErr w:type="gramStart"/>
      <w:r w:rsidRPr="006A2480">
        <w:rPr>
          <w:rFonts w:ascii="Times New Roman" w:hAnsi="Times New Roman" w:cs="Times New Roman"/>
          <w:lang w:val="sv-SE"/>
        </w:rPr>
        <w:t>2-8</w:t>
      </w:r>
      <w:proofErr w:type="gramEnd"/>
      <w:r w:rsidRPr="006A2480">
        <w:rPr>
          <w:rFonts w:ascii="Times New Roman" w:hAnsi="Times New Roman" w:cs="Times New Roman"/>
          <w:lang w:val="sv-SE"/>
        </w:rPr>
        <w:t xml:space="preserve"> år (innan 31/6 2015) – Lärarbehörighet genom VAL (vidareutbildning av lärare) 60hp.</w:t>
      </w:r>
    </w:p>
    <w:p w14:paraId="5C2BA308" w14:textId="77777777" w:rsidR="006A2480" w:rsidRPr="006A2480" w:rsidRDefault="006A2480" w:rsidP="006A2480">
      <w:pPr>
        <w:numPr>
          <w:ilvl w:val="0"/>
          <w:numId w:val="6"/>
        </w:numPr>
        <w:spacing w:after="0" w:line="240" w:lineRule="auto"/>
        <w:rPr>
          <w:rFonts w:ascii="Times New Roman" w:hAnsi="Times New Roman" w:cs="Times New Roman"/>
          <w:lang w:val="sv-SE"/>
        </w:rPr>
      </w:pPr>
      <w:r w:rsidRPr="006A2480">
        <w:rPr>
          <w:rFonts w:ascii="Times New Roman" w:hAnsi="Times New Roman" w:cs="Times New Roman"/>
          <w:lang w:val="sv-SE"/>
        </w:rPr>
        <w:t>Jag har ingen lärarexamen och har inte arbetat heltid som specialidrottslärare i minst 2 år – Lärarbehörighet genom yrkeslärarprogrammet 90hp.</w:t>
      </w:r>
    </w:p>
    <w:p w14:paraId="111A6444" w14:textId="77777777" w:rsidR="006A2480" w:rsidRPr="006A2480" w:rsidRDefault="006A2480" w:rsidP="006A2480">
      <w:pPr>
        <w:numPr>
          <w:ilvl w:val="0"/>
          <w:numId w:val="6"/>
        </w:numPr>
        <w:spacing w:after="0" w:line="240" w:lineRule="auto"/>
        <w:rPr>
          <w:rFonts w:ascii="Times New Roman" w:hAnsi="Times New Roman" w:cs="Times New Roman"/>
          <w:lang w:val="sv-SE"/>
        </w:rPr>
      </w:pPr>
      <w:r w:rsidRPr="006A2480">
        <w:rPr>
          <w:rFonts w:ascii="Times New Roman" w:hAnsi="Times New Roman" w:cs="Times New Roman"/>
          <w:lang w:val="sv-SE"/>
        </w:rPr>
        <w:t>Jag har ingen lärarexamen med har läst 120hp ämnesstudier i specialidrott – Lärarbehörighet genom KPU (kompletterande pedagogisk utbildning) 90hp.</w:t>
      </w:r>
    </w:p>
    <w:p w14:paraId="3C854FEF" w14:textId="2067E606" w:rsidR="006A2480" w:rsidRPr="006A2480" w:rsidRDefault="006A2480" w:rsidP="006A2480">
      <w:pPr>
        <w:numPr>
          <w:ilvl w:val="0"/>
          <w:numId w:val="6"/>
        </w:numPr>
        <w:spacing w:after="0" w:line="240" w:lineRule="auto"/>
        <w:rPr>
          <w:rFonts w:ascii="Times New Roman" w:hAnsi="Times New Roman" w:cs="Times New Roman"/>
          <w:lang w:val="sv-SE"/>
        </w:rPr>
      </w:pPr>
      <w:r w:rsidRPr="006A2480">
        <w:rPr>
          <w:rFonts w:ascii="Times New Roman" w:hAnsi="Times New Roman" w:cs="Times New Roman"/>
          <w:lang w:val="sv-SE"/>
        </w:rPr>
        <w:t>Jag har varken lärarexamen eller 120hp ämnesstudier i specialidrott – Lärarbehörighet genom ämneslärarutbildning i specialidrott 300hp på GIH.</w:t>
      </w:r>
      <w:r w:rsidR="0008022C">
        <w:rPr>
          <w:rFonts w:ascii="Times New Roman" w:hAnsi="Times New Roman" w:cs="Times New Roman"/>
          <w:lang w:val="sv-SE"/>
        </w:rPr>
        <w:br/>
      </w:r>
    </w:p>
    <w:p w14:paraId="61584563" w14:textId="37E59EE6" w:rsidR="006A2480" w:rsidRPr="0008022C" w:rsidRDefault="006A2480" w:rsidP="006A2480">
      <w:pPr>
        <w:pStyle w:val="Normalwebb"/>
        <w:spacing w:before="0" w:beforeAutospacing="0" w:after="0" w:afterAutospacing="0"/>
        <w:rPr>
          <w:b/>
          <w:sz w:val="10"/>
          <w:szCs w:val="10"/>
        </w:rPr>
      </w:pPr>
      <w:r w:rsidRPr="006A2480">
        <w:rPr>
          <w:b/>
        </w:rPr>
        <w:t>Efter höstterminen 2019 gäller inte ovanstående vägar till behörighet längre och verksamma specialidrottslärare som saknar behörighet och avslutar eller söker ny anställning måste skaffa sig behörighet på följande sätt:</w:t>
      </w:r>
      <w:r w:rsidR="0008022C">
        <w:rPr>
          <w:b/>
        </w:rPr>
        <w:br/>
      </w:r>
    </w:p>
    <w:p w14:paraId="126ABE56" w14:textId="77777777" w:rsidR="006A2480" w:rsidRPr="006A2480" w:rsidRDefault="006A2480" w:rsidP="006A2480">
      <w:pPr>
        <w:numPr>
          <w:ilvl w:val="0"/>
          <w:numId w:val="7"/>
        </w:numPr>
        <w:spacing w:after="0" w:line="240" w:lineRule="auto"/>
        <w:rPr>
          <w:rFonts w:ascii="Times New Roman" w:hAnsi="Times New Roman" w:cs="Times New Roman"/>
        </w:rPr>
      </w:pPr>
      <w:r w:rsidRPr="006A2480">
        <w:rPr>
          <w:rFonts w:ascii="Times New Roman" w:hAnsi="Times New Roman" w:cs="Times New Roman"/>
        </w:rPr>
        <w:t xml:space="preserve">Genom </w:t>
      </w:r>
      <w:proofErr w:type="spellStart"/>
      <w:r w:rsidRPr="006A2480">
        <w:rPr>
          <w:rFonts w:ascii="Times New Roman" w:hAnsi="Times New Roman" w:cs="Times New Roman"/>
        </w:rPr>
        <w:t>ämneslärarutbildning</w:t>
      </w:r>
      <w:proofErr w:type="spellEnd"/>
      <w:r w:rsidRPr="006A2480">
        <w:rPr>
          <w:rFonts w:ascii="Times New Roman" w:hAnsi="Times New Roman" w:cs="Times New Roman"/>
        </w:rPr>
        <w:t xml:space="preserve"> </w:t>
      </w:r>
      <w:proofErr w:type="spellStart"/>
      <w:r w:rsidRPr="006A2480">
        <w:rPr>
          <w:rFonts w:ascii="Times New Roman" w:hAnsi="Times New Roman" w:cs="Times New Roman"/>
        </w:rPr>
        <w:t>i</w:t>
      </w:r>
      <w:proofErr w:type="spellEnd"/>
      <w:r w:rsidRPr="006A2480">
        <w:rPr>
          <w:rFonts w:ascii="Times New Roman" w:hAnsi="Times New Roman" w:cs="Times New Roman"/>
        </w:rPr>
        <w:t xml:space="preserve"> </w:t>
      </w:r>
      <w:proofErr w:type="spellStart"/>
      <w:r w:rsidRPr="006A2480">
        <w:rPr>
          <w:rFonts w:ascii="Times New Roman" w:hAnsi="Times New Roman" w:cs="Times New Roman"/>
        </w:rPr>
        <w:t>specialidrott</w:t>
      </w:r>
      <w:proofErr w:type="spellEnd"/>
      <w:r w:rsidRPr="006A2480">
        <w:rPr>
          <w:rFonts w:ascii="Times New Roman" w:hAnsi="Times New Roman" w:cs="Times New Roman"/>
        </w:rPr>
        <w:t>.</w:t>
      </w:r>
    </w:p>
    <w:p w14:paraId="241494C7" w14:textId="77777777" w:rsidR="006A2480" w:rsidRPr="006A2480" w:rsidRDefault="006A2480" w:rsidP="006A2480">
      <w:pPr>
        <w:numPr>
          <w:ilvl w:val="0"/>
          <w:numId w:val="7"/>
        </w:numPr>
        <w:spacing w:after="0" w:line="240" w:lineRule="auto"/>
        <w:rPr>
          <w:rFonts w:ascii="Times New Roman" w:hAnsi="Times New Roman" w:cs="Times New Roman"/>
          <w:lang w:val="sv-SE"/>
        </w:rPr>
      </w:pPr>
      <w:r w:rsidRPr="006A2480">
        <w:rPr>
          <w:rFonts w:ascii="Times New Roman" w:hAnsi="Times New Roman" w:cs="Times New Roman"/>
          <w:lang w:val="sv-SE"/>
        </w:rPr>
        <w:t>Genom ämnesstudier 120hp i specialidrott samt KPU (kompletterande pedagogisk utbildning) 90hp.</w:t>
      </w:r>
    </w:p>
    <w:p w14:paraId="449C5E39" w14:textId="77777777" w:rsidR="006A2480" w:rsidRPr="006A2480" w:rsidRDefault="006A2480" w:rsidP="006A2480">
      <w:pPr>
        <w:numPr>
          <w:ilvl w:val="0"/>
          <w:numId w:val="7"/>
        </w:numPr>
        <w:spacing w:after="0" w:line="240" w:lineRule="auto"/>
        <w:rPr>
          <w:rFonts w:ascii="Times New Roman" w:hAnsi="Times New Roman" w:cs="Times New Roman"/>
          <w:lang w:val="sv-SE"/>
        </w:rPr>
      </w:pPr>
      <w:r w:rsidRPr="006A2480">
        <w:rPr>
          <w:rFonts w:ascii="Times New Roman" w:hAnsi="Times New Roman" w:cs="Times New Roman"/>
          <w:lang w:val="sv-SE"/>
        </w:rPr>
        <w:t>Om ämneslärarexamen inom idrott och hälsa läses 60hp inom specialidrott innan ansökan om utökad behörighet görs.</w:t>
      </w:r>
    </w:p>
    <w:p w14:paraId="3DD798EF" w14:textId="77777777" w:rsidR="006A2480" w:rsidRPr="006A2480" w:rsidRDefault="006A2480" w:rsidP="006A2480">
      <w:pPr>
        <w:numPr>
          <w:ilvl w:val="0"/>
          <w:numId w:val="7"/>
        </w:numPr>
        <w:spacing w:after="0" w:line="240" w:lineRule="auto"/>
        <w:rPr>
          <w:rFonts w:ascii="Times New Roman" w:hAnsi="Times New Roman" w:cs="Times New Roman"/>
          <w:lang w:val="sv-SE"/>
        </w:rPr>
      </w:pPr>
      <w:r w:rsidRPr="006A2480">
        <w:rPr>
          <w:rFonts w:ascii="Times New Roman" w:hAnsi="Times New Roman" w:cs="Times New Roman"/>
          <w:lang w:val="sv-SE"/>
        </w:rPr>
        <w:t>Om ämneslärarexamen inom övriga ämnen läses 90hp inom specialidrott innan ansökan om utökad behörighet görs.</w:t>
      </w:r>
    </w:p>
    <w:p w14:paraId="1312D5B4" w14:textId="4CF04075" w:rsidR="006A2480" w:rsidRPr="006A2480" w:rsidRDefault="0008022C" w:rsidP="006A2480">
      <w:pPr>
        <w:pStyle w:val="Normalwebb"/>
        <w:spacing w:before="0" w:beforeAutospacing="0" w:after="0" w:afterAutospacing="0"/>
      </w:pPr>
      <w:r w:rsidRPr="0008022C">
        <w:rPr>
          <w:sz w:val="10"/>
          <w:szCs w:val="10"/>
        </w:rPr>
        <w:br/>
      </w:r>
      <w:r w:rsidR="006A2480" w:rsidRPr="006A2480">
        <w:t xml:space="preserve">För mer information kring </w:t>
      </w:r>
      <w:proofErr w:type="spellStart"/>
      <w:r w:rsidR="006A2480" w:rsidRPr="006A2480">
        <w:t>omklassificeringen</w:t>
      </w:r>
      <w:proofErr w:type="spellEnd"/>
      <w:r w:rsidR="006A2480" w:rsidRPr="006A2480">
        <w:t xml:space="preserve"> och övergångsreglerna hänvisar vi till </w:t>
      </w:r>
      <w:hyperlink r:id="rId14" w:history="1">
        <w:r w:rsidR="006A2480" w:rsidRPr="006A2480">
          <w:rPr>
            <w:rStyle w:val="Hyperlnk"/>
          </w:rPr>
          <w:t>Skolverket</w:t>
        </w:r>
      </w:hyperlink>
      <w:r w:rsidR="006A2480" w:rsidRPr="006A2480">
        <w:t>.</w:t>
      </w:r>
    </w:p>
    <w:p w14:paraId="0424FB7F" w14:textId="75CCB8E1" w:rsidR="009E088D" w:rsidRPr="006A2480" w:rsidRDefault="009E088D" w:rsidP="006A2480">
      <w:pPr>
        <w:pStyle w:val="Sim-brdtext"/>
        <w:spacing w:line="240" w:lineRule="auto"/>
        <w:rPr>
          <w:rFonts w:ascii="Times New Roman" w:hAnsi="Times New Roman" w:cs="Times New Roman"/>
        </w:rPr>
      </w:pPr>
    </w:p>
    <w:sectPr w:rsidR="009E088D" w:rsidRPr="006A2480" w:rsidSect="009E088D">
      <w:headerReference w:type="even" r:id="rId15"/>
      <w:headerReference w:type="default" r:id="rId16"/>
      <w:footerReference w:type="even" r:id="rId17"/>
      <w:footerReference w:type="default" r:id="rId18"/>
      <w:headerReference w:type="first" r:id="rId19"/>
      <w:footerReference w:type="first" r:id="rId20"/>
      <w:pgSz w:w="11909" w:h="16834" w:code="9"/>
      <w:pgMar w:top="2268" w:right="1134" w:bottom="2552"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EB98" w14:textId="77777777" w:rsidR="006A2480" w:rsidRDefault="006A2480" w:rsidP="00020D51">
      <w:pPr>
        <w:spacing w:after="0" w:line="240" w:lineRule="auto"/>
      </w:pPr>
      <w:r>
        <w:separator/>
      </w:r>
    </w:p>
  </w:endnote>
  <w:endnote w:type="continuationSeparator" w:id="0">
    <w:p w14:paraId="270C8D80" w14:textId="77777777" w:rsidR="006A2480" w:rsidRDefault="006A2480" w:rsidP="0002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43890343"/>
      <w:docPartObj>
        <w:docPartGallery w:val="Page Numbers (Bottom of Page)"/>
        <w:docPartUnique/>
      </w:docPartObj>
    </w:sdtPr>
    <w:sdtEndPr>
      <w:rPr>
        <w:rStyle w:val="Sidnummer"/>
      </w:rPr>
    </w:sdtEndPr>
    <w:sdtContent>
      <w:p w14:paraId="53B04A29" w14:textId="77777777" w:rsidR="006762B8" w:rsidRDefault="006762B8" w:rsidP="00D949BD">
        <w:pPr>
          <w:pStyle w:val="Sidfot"/>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D19E767" w14:textId="77777777" w:rsidR="006762B8" w:rsidRDefault="006762B8" w:rsidP="006762B8">
    <w:pPr>
      <w:pStyle w:val="Sidfot"/>
      <w:ind w:firstLine="360"/>
    </w:pPr>
  </w:p>
  <w:p w14:paraId="55CF3275" w14:textId="77777777" w:rsidR="00D93E8A" w:rsidRDefault="00D93E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6152" w14:textId="77777777" w:rsidR="006762B8" w:rsidRDefault="006762B8" w:rsidP="006762B8">
    <w:pPr>
      <w:pStyle w:val="Sidfo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BEFD" w14:textId="77777777" w:rsidR="005E7844" w:rsidRDefault="005E7844" w:rsidP="005E7844">
    <w:pPr>
      <w:pStyle w:val="Sidfot"/>
    </w:pPr>
    <w:r>
      <w:rPr>
        <w:noProof/>
        <w:lang w:val="sv-SE" w:eastAsia="sv-SE"/>
      </w:rPr>
      <mc:AlternateContent>
        <mc:Choice Requires="wps">
          <w:drawing>
            <wp:anchor distT="0" distB="0" distL="114300" distR="114300" simplePos="0" relativeHeight="251665408" behindDoc="0" locked="0" layoutInCell="1" allowOverlap="1" wp14:anchorId="612F6638" wp14:editId="72715E8A">
              <wp:simplePos x="0" y="0"/>
              <wp:positionH relativeFrom="column">
                <wp:posOffset>5450205</wp:posOffset>
              </wp:positionH>
              <wp:positionV relativeFrom="paragraph">
                <wp:posOffset>-460375</wp:posOffset>
              </wp:positionV>
              <wp:extent cx="847725" cy="495300"/>
              <wp:effectExtent l="0" t="0" r="9525" b="0"/>
              <wp:wrapNone/>
              <wp:docPr id="1" name="Rektangel 1"/>
              <wp:cNvGraphicFramePr/>
              <a:graphic xmlns:a="http://schemas.openxmlformats.org/drawingml/2006/main">
                <a:graphicData uri="http://schemas.microsoft.com/office/word/2010/wordprocessingShape">
                  <wps:wsp>
                    <wps:cNvSpPr/>
                    <wps:spPr>
                      <a:xfrm>
                        <a:off x="0" y="0"/>
                        <a:ext cx="847725"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523A6" id="Rektangel 1" o:spid="_x0000_s1026" style="position:absolute;margin-left:429.15pt;margin-top:-36.25pt;width:66.7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HHfQIAAF0FAAAOAAAAZHJzL2Uyb0RvYy54bWysVE1v2zAMvQ/YfxB0X+1kydoGdYqgRYcB&#10;RVu0HXpWZCk2IIsapcTJfv0o+SNdV+wwLAdFMh8fySdSF5f7xrCdQl+DLfjkJOdMWQllbTcF//58&#10;8+mMMx+ELYUBqwp+UJ5fLj9+uGjdQk2hAlMqZERi/aJ1Ba9CcIss87JSjfAn4JQlowZsRKAjbrIS&#10;RUvsjcmmef4lawFLhyCV9/T1ujPyZeLXWslwr7VXgZmCU24hrZjWdVyz5YVYbFC4qpZ9GuIfsmhE&#10;bSnoSHUtgmBbrP+gamqJ4EGHEwlNBlrXUqUaqJpJ/qaap0o4lWohcbwbZfL/j1be7Z7cA5IMrfML&#10;T9tYxV5jE/8pP7ZPYh1GsdQ+MEkfz2anp9M5Z5JMs/P55zyJmR2dHfrwVUHD4qbgSHeRJBK7Wx8o&#10;IEEHSIzlwdTlTW1MOsT7V1cG2U7Qza03k3hT5PEbytiItRC9OnP8kh0rSbtwMCrijH1UmtUl5T5N&#10;iaQmOwYRUiobJp2pEqXqYs9z+g3Rh7RSLokwMmuKP3L3BAOyIxm4uyx7fHRVqUdH5/xviXXOo0eK&#10;DDaMzk1tAd8jMFRVH7nDDyJ10kSV1lAeHpAhdBPinbyp6dpuhQ8PAmkkaHhozMM9LdpAW3Dod5xV&#10;gD/f+x7x1Klk5aylESu4/7EVqDgz3yz18PlkNoszmQ6z+emUDvjasn5tsdvmCqgXJvSgOJm2ER/M&#10;sNUIzQu9BqsYlUzCSopdcBlwOFyFbvTpPZFqtUowmkMnwq19cjKSR1VjWz7vXwS6vncDNf0dDOMo&#10;Fm9auMNGTwurbQBdp/4+6trrTTOcGqd/b+Ij8fqcUMdXcfkLAAD//wMAUEsDBBQABgAIAAAAIQBe&#10;43xi3wAAAAkBAAAPAAAAZHJzL2Rvd25yZXYueG1sTI/LTsMwEEX3SPyDNUjsWqetTNI0kwohqKA7&#10;CunajYckwo8QO234e8wKlqM5uvfcYjsZzc40+M5ZhMU8AUa2dqqzDcL729MsA+aDtEpqZwnhmzxs&#10;y+urQubKXewrnQ+hYTHE+lwitCH0Oee+bslIP3c92fj7cIORIZ5Dw9UgLzHcaL5MkjtuZGdjQyt7&#10;emip/jyMBmEU6cvjdPzaraqkSveVFs9h1yPe3kz3G2CBpvAHw69+VIcyOp3caJVnGiET2SqiCLN0&#10;KYBFYr1exDEnBCGAlwX/v6D8AQAA//8DAFBLAQItABQABgAIAAAAIQC2gziS/gAAAOEBAAATAAAA&#10;AAAAAAAAAAAAAAAAAABbQ29udGVudF9UeXBlc10ueG1sUEsBAi0AFAAGAAgAAAAhADj9If/WAAAA&#10;lAEAAAsAAAAAAAAAAAAAAAAALwEAAF9yZWxzLy5yZWxzUEsBAi0AFAAGAAgAAAAhAJdLQcd9AgAA&#10;XQUAAA4AAAAAAAAAAAAAAAAALgIAAGRycy9lMm9Eb2MueG1sUEsBAi0AFAAGAAgAAAAhAF7jfGLf&#10;AAAACQEAAA8AAAAAAAAAAAAAAAAA1wQAAGRycy9kb3ducmV2LnhtbFBLBQYAAAAABAAEAPMAAADj&#10;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5BF7" w14:textId="77777777" w:rsidR="006A2480" w:rsidRDefault="006A2480" w:rsidP="00020D51">
      <w:pPr>
        <w:spacing w:after="0" w:line="240" w:lineRule="auto"/>
      </w:pPr>
      <w:r>
        <w:separator/>
      </w:r>
    </w:p>
  </w:footnote>
  <w:footnote w:type="continuationSeparator" w:id="0">
    <w:p w14:paraId="199B6991" w14:textId="77777777" w:rsidR="006A2480" w:rsidRDefault="006A2480" w:rsidP="00020D51">
      <w:pPr>
        <w:spacing w:after="0" w:line="240" w:lineRule="auto"/>
      </w:pPr>
      <w:r>
        <w:continuationSeparator/>
      </w:r>
    </w:p>
  </w:footnote>
  <w:footnote w:id="1">
    <w:p w14:paraId="2A407744" w14:textId="77777777" w:rsidR="006A2480" w:rsidRDefault="006A2480" w:rsidP="006A2480">
      <w:pPr>
        <w:pStyle w:val="Fotnotstext"/>
      </w:pPr>
      <w:r>
        <w:rPr>
          <w:rStyle w:val="Fotnotsreferens"/>
        </w:rPr>
        <w:footnoteRef/>
      </w:r>
      <w:r>
        <w:t xml:space="preserve"> </w:t>
      </w:r>
      <w:r w:rsidRPr="00491D98">
        <w:t xml:space="preserve">Gymnasieförordningen i sin helhet finns att läsa här: </w:t>
      </w:r>
      <w:hyperlink r:id="rId1" w:history="1">
        <w:r w:rsidRPr="00C12BA1">
          <w:rPr>
            <w:rStyle w:val="Hyperlnk"/>
          </w:rPr>
          <w:t>https://www.riksdagen.se/sv/dokument-lagar/dokument/svensk-forfattningssamling/gymnasieforordning-20102039_sfs-2010-2039</w:t>
        </w:r>
      </w:hyperlink>
      <w:r>
        <w:t xml:space="preserve"> </w:t>
      </w:r>
    </w:p>
  </w:footnote>
  <w:footnote w:id="2">
    <w:p w14:paraId="062C45D9" w14:textId="77777777" w:rsidR="006A2480" w:rsidRDefault="006A2480" w:rsidP="006A2480">
      <w:pPr>
        <w:pStyle w:val="Fotnotstext"/>
      </w:pPr>
      <w:r>
        <w:rPr>
          <w:rStyle w:val="Fotnotsreferens"/>
        </w:rPr>
        <w:footnoteRef/>
      </w:r>
      <w:r>
        <w:t xml:space="preserve"> </w:t>
      </w:r>
      <w:r w:rsidRPr="00B779B0">
        <w:t xml:space="preserve">Riksidrottsförbundets riktlinjer för urval till nationellt godkända idrottsutbildningar finns att läsa här: </w:t>
      </w:r>
      <w:hyperlink r:id="rId2" w:history="1">
        <w:r w:rsidRPr="00B779B0">
          <w:rPr>
            <w:rStyle w:val="Hyperlnk"/>
          </w:rPr>
          <w:t>http://www.svenskidrott.se/globalassets/svenskidrott/dokument/undersidor/idrottsgymnasium/rfs-riktlinjer-antagning-rig.pdf</w:t>
        </w:r>
      </w:hyperlink>
    </w:p>
  </w:footnote>
  <w:footnote w:id="3">
    <w:p w14:paraId="6B8036A6" w14:textId="77777777" w:rsidR="006A2480" w:rsidRDefault="006A2480" w:rsidP="006A2480">
      <w:pPr>
        <w:pStyle w:val="Fotnotstext"/>
      </w:pPr>
      <w:r>
        <w:rPr>
          <w:rStyle w:val="Fotnotsreferens"/>
        </w:rPr>
        <w:footnoteRef/>
      </w:r>
      <w:r>
        <w:t xml:space="preserve"> Enligt Gymnasieförordningen (2010:2039) 4 kap. §23 fattas beslut om utökat program för en elev av rektor</w:t>
      </w:r>
      <w:r w:rsidRPr="00B779B0">
        <w:t>.</w:t>
      </w:r>
    </w:p>
  </w:footnote>
  <w:footnote w:id="4">
    <w:p w14:paraId="30BD6D93" w14:textId="77777777" w:rsidR="006A2480" w:rsidRDefault="006A2480" w:rsidP="006A2480">
      <w:pPr>
        <w:pStyle w:val="Fotnotstext"/>
      </w:pPr>
      <w:r>
        <w:rPr>
          <w:rStyle w:val="Fotnotsreferens"/>
        </w:rPr>
        <w:footnoteRef/>
      </w:r>
      <w:r>
        <w:t xml:space="preserve"> Skollag (2010:800). 15 kap. §30: Kommunen kan erbjuda utbildning som den själv anordnar eller utbildning som anordnas av en annan kommun eller ett landsting enligt samverkansavtal med kommunen eller landstinget. Kommuner som har ingått ett samverkansavtal bildar ett samverkansområde för utbildningen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27756054"/>
      <w:docPartObj>
        <w:docPartGallery w:val="Page Numbers (Top of Page)"/>
        <w:docPartUnique/>
      </w:docPartObj>
    </w:sdtPr>
    <w:sdtEndPr>
      <w:rPr>
        <w:rStyle w:val="Sidnummer"/>
      </w:rPr>
    </w:sdtEndPr>
    <w:sdtContent>
      <w:p w14:paraId="56C3B992" w14:textId="77777777" w:rsidR="006762B8" w:rsidRDefault="006762B8" w:rsidP="00D949BD">
        <w:pPr>
          <w:pStyle w:val="Sidhuvud"/>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DB2F247" w14:textId="77777777" w:rsidR="006762B8" w:rsidRDefault="006762B8" w:rsidP="006762B8">
    <w:pPr>
      <w:pStyle w:val="Sidhuvud"/>
      <w:ind w:firstLine="360"/>
    </w:pPr>
  </w:p>
  <w:p w14:paraId="45055846" w14:textId="77777777" w:rsidR="00D93E8A" w:rsidRDefault="00D93E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B97C" w14:textId="77777777" w:rsidR="00020D51" w:rsidRDefault="00B21DFC" w:rsidP="006762B8">
    <w:pPr>
      <w:pStyle w:val="Sidhuvud"/>
      <w:ind w:firstLine="360"/>
    </w:pPr>
    <w:r>
      <w:rPr>
        <w:noProof/>
        <w:lang w:val="sv-SE" w:eastAsia="sv-SE"/>
      </w:rPr>
      <w:drawing>
        <wp:anchor distT="0" distB="0" distL="114300" distR="114300" simplePos="0" relativeHeight="251658240" behindDoc="1" locked="0" layoutInCell="1" allowOverlap="1" wp14:anchorId="4F534762" wp14:editId="48E657F6">
          <wp:simplePos x="0" y="0"/>
          <wp:positionH relativeFrom="page">
            <wp:posOffset>23247</wp:posOffset>
          </wp:positionH>
          <wp:positionV relativeFrom="page">
            <wp:posOffset>6338</wp:posOffset>
          </wp:positionV>
          <wp:extent cx="7541999" cy="10660203"/>
          <wp:effectExtent l="0" t="0" r="1905"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60203"/>
                  </a:xfrm>
                  <a:prstGeom prst="rect">
                    <a:avLst/>
                  </a:prstGeom>
                </pic:spPr>
              </pic:pic>
            </a:graphicData>
          </a:graphic>
          <wp14:sizeRelH relativeFrom="margin">
            <wp14:pctWidth>0</wp14:pctWidth>
          </wp14:sizeRelH>
          <wp14:sizeRelV relativeFrom="margin">
            <wp14:pctHeight>0</wp14:pctHeight>
          </wp14:sizeRelV>
        </wp:anchor>
      </w:drawing>
    </w:r>
    <w:r w:rsidR="00930348">
      <w:rPr>
        <w:noProof/>
      </w:rPr>
      <w:t xml:space="preserve"> </w:t>
    </w:r>
  </w:p>
  <w:p w14:paraId="46A89832" w14:textId="77777777" w:rsidR="00D93E8A" w:rsidRDefault="00D93E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55BA" w14:textId="77777777" w:rsidR="00B21DFC" w:rsidRDefault="00A46710">
    <w:pPr>
      <w:pStyle w:val="Sidhuvud"/>
    </w:pPr>
    <w:r>
      <w:rPr>
        <w:noProof/>
        <w:lang w:val="sv-SE" w:eastAsia="sv-SE"/>
      </w:rPr>
      <w:drawing>
        <wp:anchor distT="0" distB="0" distL="114300" distR="114300" simplePos="0" relativeHeight="251662336" behindDoc="1" locked="0" layoutInCell="1" allowOverlap="1" wp14:anchorId="47C95EA5" wp14:editId="1340B776">
          <wp:simplePos x="0" y="0"/>
          <wp:positionH relativeFrom="page">
            <wp:posOffset>18583</wp:posOffset>
          </wp:positionH>
          <wp:positionV relativeFrom="page">
            <wp:posOffset>9236</wp:posOffset>
          </wp:positionV>
          <wp:extent cx="7544118" cy="10663200"/>
          <wp:effectExtent l="0" t="0" r="0" b="508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1">
                    <a:extLst>
                      <a:ext uri="{28A0092B-C50C-407E-A947-70E740481C1C}">
                        <a14:useLocalDpi xmlns:a14="http://schemas.microsoft.com/office/drawing/2010/main" val="0"/>
                      </a:ext>
                    </a:extLst>
                  </a:blip>
                  <a:stretch>
                    <a:fillRect/>
                  </a:stretch>
                </pic:blipFill>
                <pic:spPr>
                  <a:xfrm>
                    <a:off x="0" y="0"/>
                    <a:ext cx="7544118" cy="10663200"/>
                  </a:xfrm>
                  <a:prstGeom prst="rect">
                    <a:avLst/>
                  </a:prstGeom>
                </pic:spPr>
              </pic:pic>
            </a:graphicData>
          </a:graphic>
          <wp14:sizeRelH relativeFrom="margin">
            <wp14:pctWidth>0</wp14:pctWidth>
          </wp14:sizeRelH>
          <wp14:sizeRelV relativeFrom="margin">
            <wp14:pctHeight>0</wp14:pctHeight>
          </wp14:sizeRelV>
        </wp:anchor>
      </w:drawing>
    </w:r>
    <w:r w:rsidR="004F2588">
      <w:rPr>
        <w:rFonts w:cstheme="minorHAnsi"/>
        <w:noProof/>
        <w:sz w:val="19"/>
        <w:szCs w:val="19"/>
        <w:lang w:val="sv-SE" w:eastAsia="sv-SE"/>
      </w:rPr>
      <mc:AlternateContent>
        <mc:Choice Requires="wps">
          <w:drawing>
            <wp:anchor distT="0" distB="0" distL="114300" distR="114300" simplePos="0" relativeHeight="251664384" behindDoc="0" locked="0" layoutInCell="1" allowOverlap="0" wp14:anchorId="34CAE357" wp14:editId="6680404B">
              <wp:simplePos x="0" y="0"/>
              <wp:positionH relativeFrom="margin">
                <wp:posOffset>1639570</wp:posOffset>
              </wp:positionH>
              <wp:positionV relativeFrom="page">
                <wp:posOffset>1602777</wp:posOffset>
              </wp:positionV>
              <wp:extent cx="4469130" cy="838200"/>
              <wp:effectExtent l="0" t="0" r="1270" b="0"/>
              <wp:wrapTopAndBottom/>
              <wp:docPr id="24" name="Textruta 24"/>
              <wp:cNvGraphicFramePr/>
              <a:graphic xmlns:a="http://schemas.openxmlformats.org/drawingml/2006/main">
                <a:graphicData uri="http://schemas.microsoft.com/office/word/2010/wordprocessingShape">
                  <wps:wsp>
                    <wps:cNvSpPr txBox="1"/>
                    <wps:spPr>
                      <a:xfrm>
                        <a:off x="0" y="0"/>
                        <a:ext cx="4469130" cy="838200"/>
                      </a:xfrm>
                      <a:prstGeom prst="rect">
                        <a:avLst/>
                      </a:prstGeom>
                      <a:solidFill>
                        <a:schemeClr val="lt1"/>
                      </a:solidFill>
                      <a:ln w="6350">
                        <a:noFill/>
                      </a:ln>
                    </wps:spPr>
                    <wps:txbx>
                      <w:txbxContent>
                        <w:p w14:paraId="0244B911" w14:textId="77777777" w:rsidR="0006602F" w:rsidRPr="005C3602" w:rsidRDefault="004F2588" w:rsidP="0006602F">
                          <w:pPr>
                            <w:jc w:val="right"/>
                            <w:rPr>
                              <w:color w:val="262626" w:themeColor="text1" w:themeTint="D9"/>
                              <w:sz w:val="19"/>
                              <w:szCs w:val="19"/>
                            </w:rPr>
                          </w:pPr>
                          <w:r>
                            <w:rPr>
                              <w:color w:val="262626" w:themeColor="text1" w:themeTint="D9"/>
                              <w:sz w:val="19"/>
                              <w:szCs w:val="19"/>
                              <w:lang w:val="sv-SE"/>
                            </w:rPr>
                            <w:fldChar w:fldCharType="begin"/>
                          </w:r>
                          <w:r>
                            <w:rPr>
                              <w:color w:val="262626" w:themeColor="text1" w:themeTint="D9"/>
                              <w:sz w:val="19"/>
                              <w:szCs w:val="19"/>
                              <w:lang w:val="sv-SE"/>
                            </w:rPr>
                            <w:instrText xml:space="preserve"> TIME \@ "d MMMM yyyy" </w:instrText>
                          </w:r>
                          <w:r>
                            <w:rPr>
                              <w:color w:val="262626" w:themeColor="text1" w:themeTint="D9"/>
                              <w:sz w:val="19"/>
                              <w:szCs w:val="19"/>
                              <w:lang w:val="sv-SE"/>
                            </w:rPr>
                            <w:fldChar w:fldCharType="separate"/>
                          </w:r>
                          <w:r w:rsidR="006A2480">
                            <w:rPr>
                              <w:noProof/>
                              <w:color w:val="262626" w:themeColor="text1" w:themeTint="D9"/>
                              <w:sz w:val="19"/>
                              <w:szCs w:val="19"/>
                              <w:lang w:val="sv-SE"/>
                            </w:rPr>
                            <w:t>12 september 2023</w:t>
                          </w:r>
                          <w:r>
                            <w:rPr>
                              <w:color w:val="262626" w:themeColor="text1" w:themeTint="D9"/>
                              <w:sz w:val="19"/>
                              <w:szCs w:val="19"/>
                              <w:lang w:val="sv-S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AE357" id="_x0000_t202" coordsize="21600,21600" o:spt="202" path="m,l,21600r21600,l21600,xe">
              <v:stroke joinstyle="miter"/>
              <v:path gradientshapeok="t" o:connecttype="rect"/>
            </v:shapetype>
            <v:shape id="Textruta 24" o:spid="_x0000_s1026" type="#_x0000_t202" style="position:absolute;margin-left:129.1pt;margin-top:126.2pt;width:351.9pt;height: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QwIQIAAEQEAAAOAAAAZHJzL2Uyb0RvYy54bWysU8GO2jAQvVfqP1i+l8CyRduIsKKsqCqh&#10;3ZXYas/GsUkkx+OODQn9+o4dAu22p6oXZ+IZP8+89zy/7xrDjgp9Dbbgk9GYM2UllLXdF/zby/rD&#10;HWc+CFsKA1YV/KQ8v1+8fzdvXa5uoAJTKmQEYn3euoJXIbg8y7ysVCP8CJyylNSAjQj0i/usRNES&#10;emOym/F4lrWApUOQynvafeiTfJHwtVYyPGntVWCm4NRbSCumdRfXbDEX+R6Fq2p5bkP8QxeNqC1d&#10;eoF6EEGwA9Z/QDW1RPCgw0hCk4HWtVRpBppmMn4zzbYSTqVZiBzvLjT5/wcrH49b94wsdJ+hIwEj&#10;Ia3zuafNOE+nsYlf6pRRnig8XWhTXWCSNm9vZ58mU0pJyt1N70iXCJNdTzv04YuChsWg4EiyJLbE&#10;ceNDXzqUxMs8mLpc18akn2gFtTLIjoJENCH1SOC/VRnL2oLPph/HCdhCPN4jG0u9XGeKUeh23XnQ&#10;HZQnmh+ht4Z3cl1Tkxvhw7NA8gLNRf4OT7RoA3QJnCPOKsAff9uP9SQRZTlryVsF998PAhVn5qsl&#10;8aIRhwCHYDcE9tCsgCad0MtxMoV0AIMZQo3QvJLtl/EWSgkr6a6ChyFchd7h9GykWi5TEdnNibCx&#10;WycjdGQ2Uv7SvQp0Z10CKfoIg+tE/kaevjaetLA8BNB10i4S2rN45pmsmtQ/P6v4Fn79T1XXx7/4&#10;CQAA//8DAFBLAwQUAAYACAAAACEAtfyopeIAAAALAQAADwAAAGRycy9kb3ducmV2LnhtbEyPwU7D&#10;MAyG70i8Q2QkLoilhFJKaToBEgckEGKgnbMmNGWJU5ps63h6vBPcbPnT7++v55N3bGvG2AeUcDHL&#10;gBlsg+6xk/Dx/nheAotJoVYuoJGwNxHmzfFRrSoddvhmtovUMQrBWCkJNqWh4jy21ngVZ2EwSLfP&#10;MHqVaB07rke1o3DvuMiygnvVI32wajAP1rTrxcZLKPf5y9myuF5+udene/vTfePzWkl5ejLd3QJL&#10;Zkp/MBz0SR0aclqFDerInARxVQpCD4PIgRFxUwhqt5JwWeY58Kbm/zs0vwAAAP//AwBQSwECLQAU&#10;AAYACAAAACEAtoM4kv4AAADhAQAAEwAAAAAAAAAAAAAAAAAAAAAAW0NvbnRlbnRfVHlwZXNdLnht&#10;bFBLAQItABQABgAIAAAAIQA4/SH/1gAAAJQBAAALAAAAAAAAAAAAAAAAAC8BAABfcmVscy8ucmVs&#10;c1BLAQItABQABgAIAAAAIQAIM6QwIQIAAEQEAAAOAAAAAAAAAAAAAAAAAC4CAABkcnMvZTJvRG9j&#10;LnhtbFBLAQItABQABgAIAAAAIQC1/Kil4gAAAAsBAAAPAAAAAAAAAAAAAAAAAHsEAABkcnMvZG93&#10;bnJldi54bWxQSwUGAAAAAAQABADzAAAAigUAAAAA&#10;" o:allowoverlap="f" fillcolor="white [3201]" stroked="f" strokeweight=".5pt">
              <v:textbox inset="0,0,0,0">
                <w:txbxContent>
                  <w:p w14:paraId="0244B911" w14:textId="77777777" w:rsidR="0006602F" w:rsidRPr="005C3602" w:rsidRDefault="004F2588" w:rsidP="0006602F">
                    <w:pPr>
                      <w:jc w:val="right"/>
                      <w:rPr>
                        <w:color w:val="262626" w:themeColor="text1" w:themeTint="D9"/>
                        <w:sz w:val="19"/>
                        <w:szCs w:val="19"/>
                      </w:rPr>
                    </w:pPr>
                    <w:r>
                      <w:rPr>
                        <w:color w:val="262626" w:themeColor="text1" w:themeTint="D9"/>
                        <w:sz w:val="19"/>
                        <w:szCs w:val="19"/>
                        <w:lang w:val="sv-SE"/>
                      </w:rPr>
                      <w:fldChar w:fldCharType="begin"/>
                    </w:r>
                    <w:r>
                      <w:rPr>
                        <w:color w:val="262626" w:themeColor="text1" w:themeTint="D9"/>
                        <w:sz w:val="19"/>
                        <w:szCs w:val="19"/>
                        <w:lang w:val="sv-SE"/>
                      </w:rPr>
                      <w:instrText xml:space="preserve"> TIME \@ "d MMMM yyyy" </w:instrText>
                    </w:r>
                    <w:r>
                      <w:rPr>
                        <w:color w:val="262626" w:themeColor="text1" w:themeTint="D9"/>
                        <w:sz w:val="19"/>
                        <w:szCs w:val="19"/>
                        <w:lang w:val="sv-SE"/>
                      </w:rPr>
                      <w:fldChar w:fldCharType="separate"/>
                    </w:r>
                    <w:r w:rsidR="006A2480">
                      <w:rPr>
                        <w:noProof/>
                        <w:color w:val="262626" w:themeColor="text1" w:themeTint="D9"/>
                        <w:sz w:val="19"/>
                        <w:szCs w:val="19"/>
                        <w:lang w:val="sv-SE"/>
                      </w:rPr>
                      <w:t>12 september 2023</w:t>
                    </w:r>
                    <w:r>
                      <w:rPr>
                        <w:color w:val="262626" w:themeColor="text1" w:themeTint="D9"/>
                        <w:sz w:val="19"/>
                        <w:szCs w:val="19"/>
                        <w:lang w:val="sv-SE"/>
                      </w:rPr>
                      <w:fldChar w:fldCharType="end"/>
                    </w: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E82"/>
    <w:multiLevelType w:val="multilevel"/>
    <w:tmpl w:val="A61E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710AF"/>
    <w:multiLevelType w:val="hybridMultilevel"/>
    <w:tmpl w:val="897A6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E41528"/>
    <w:multiLevelType w:val="hybridMultilevel"/>
    <w:tmpl w:val="BAEC69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44623199"/>
    <w:multiLevelType w:val="multilevel"/>
    <w:tmpl w:val="025A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056953"/>
    <w:multiLevelType w:val="hybridMultilevel"/>
    <w:tmpl w:val="CED42C7C"/>
    <w:lvl w:ilvl="0" w:tplc="041D0001">
      <w:start w:val="1"/>
      <w:numFmt w:val="bullet"/>
      <w:lvlText w:val=""/>
      <w:lvlJc w:val="left"/>
      <w:pPr>
        <w:ind w:left="360" w:hanging="360"/>
      </w:pPr>
      <w:rPr>
        <w:rFonts w:ascii="Symbol" w:hAnsi="Symbol" w:hint="default"/>
      </w:rPr>
    </w:lvl>
    <w:lvl w:ilvl="1" w:tplc="4B58BD9A">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B737BFA"/>
    <w:multiLevelType w:val="hybridMultilevel"/>
    <w:tmpl w:val="05DE6F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43A3722"/>
    <w:multiLevelType w:val="multilevel"/>
    <w:tmpl w:val="9F56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595994">
    <w:abstractNumId w:val="2"/>
  </w:num>
  <w:num w:numId="2" w16cid:durableId="918754172">
    <w:abstractNumId w:val="5"/>
  </w:num>
  <w:num w:numId="3" w16cid:durableId="1080448699">
    <w:abstractNumId w:val="1"/>
  </w:num>
  <w:num w:numId="4" w16cid:durableId="499350066">
    <w:abstractNumId w:val="4"/>
  </w:num>
  <w:num w:numId="5" w16cid:durableId="824855848">
    <w:abstractNumId w:val="3"/>
  </w:num>
  <w:num w:numId="6" w16cid:durableId="827937831">
    <w:abstractNumId w:val="0"/>
  </w:num>
  <w:num w:numId="7" w16cid:durableId="862519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80"/>
    <w:rsid w:val="00020D51"/>
    <w:rsid w:val="00055842"/>
    <w:rsid w:val="0006602F"/>
    <w:rsid w:val="0008022C"/>
    <w:rsid w:val="000C16BA"/>
    <w:rsid w:val="000D7169"/>
    <w:rsid w:val="000F6C46"/>
    <w:rsid w:val="00192D99"/>
    <w:rsid w:val="0022693F"/>
    <w:rsid w:val="00231017"/>
    <w:rsid w:val="00264989"/>
    <w:rsid w:val="002F59CB"/>
    <w:rsid w:val="00386E02"/>
    <w:rsid w:val="003C4B0B"/>
    <w:rsid w:val="00414568"/>
    <w:rsid w:val="004968F2"/>
    <w:rsid w:val="004C1DC3"/>
    <w:rsid w:val="004F2588"/>
    <w:rsid w:val="005C3602"/>
    <w:rsid w:val="005E7844"/>
    <w:rsid w:val="00603449"/>
    <w:rsid w:val="0064480B"/>
    <w:rsid w:val="00650593"/>
    <w:rsid w:val="006762B8"/>
    <w:rsid w:val="006A2480"/>
    <w:rsid w:val="007B71E6"/>
    <w:rsid w:val="007D7E50"/>
    <w:rsid w:val="00840D5F"/>
    <w:rsid w:val="008470D4"/>
    <w:rsid w:val="00886F20"/>
    <w:rsid w:val="008C1D17"/>
    <w:rsid w:val="008C2208"/>
    <w:rsid w:val="009011F2"/>
    <w:rsid w:val="00930348"/>
    <w:rsid w:val="009E088D"/>
    <w:rsid w:val="009F4ED2"/>
    <w:rsid w:val="00A36B1D"/>
    <w:rsid w:val="00A46710"/>
    <w:rsid w:val="00A83370"/>
    <w:rsid w:val="00B108A5"/>
    <w:rsid w:val="00B15579"/>
    <w:rsid w:val="00B21DFC"/>
    <w:rsid w:val="00BD17E3"/>
    <w:rsid w:val="00C3357E"/>
    <w:rsid w:val="00C55CC3"/>
    <w:rsid w:val="00D202E1"/>
    <w:rsid w:val="00D20CA2"/>
    <w:rsid w:val="00D93E8A"/>
    <w:rsid w:val="00DF3E15"/>
    <w:rsid w:val="00E91D28"/>
    <w:rsid w:val="00F34A92"/>
    <w:rsid w:val="00FC738D"/>
    <w:rsid w:val="00FD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2628D"/>
  <w15:docId w15:val="{3921F796-9947-4F62-98DE-EEFBE2A8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0CA2"/>
  </w:style>
  <w:style w:type="paragraph" w:styleId="Rubrik1">
    <w:name w:val="heading 1"/>
    <w:basedOn w:val="Normal"/>
    <w:next w:val="Normal"/>
    <w:link w:val="Rubrik1Char"/>
    <w:uiPriority w:val="9"/>
    <w:qFormat/>
    <w:rsid w:val="006A2480"/>
    <w:pPr>
      <w:keepNext/>
      <w:keepLines/>
      <w:spacing w:before="240" w:after="240" w:line="240" w:lineRule="auto"/>
      <w:outlineLvl w:val="0"/>
    </w:pPr>
    <w:rPr>
      <w:rFonts w:ascii="Arial" w:eastAsiaTheme="majorEastAsia" w:hAnsi="Arial" w:cstheme="majorBidi"/>
      <w:b/>
      <w:sz w:val="28"/>
      <w:szCs w:val="32"/>
      <w:lang w:val="sv-SE"/>
    </w:rPr>
  </w:style>
  <w:style w:type="paragraph" w:styleId="Rubrik2">
    <w:name w:val="heading 2"/>
    <w:basedOn w:val="Normal"/>
    <w:next w:val="Normal"/>
    <w:link w:val="Rubrik2Char"/>
    <w:uiPriority w:val="9"/>
    <w:unhideWhenUsed/>
    <w:qFormat/>
    <w:rsid w:val="006A2480"/>
    <w:pPr>
      <w:keepNext/>
      <w:keepLines/>
      <w:spacing w:before="120" w:after="120" w:line="240" w:lineRule="auto"/>
      <w:outlineLvl w:val="1"/>
    </w:pPr>
    <w:rPr>
      <w:rFonts w:ascii="Arial" w:eastAsiaTheme="majorEastAsia" w:hAnsi="Arial" w:cstheme="majorBidi"/>
      <w:b/>
      <w:sz w:val="24"/>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F3E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E15"/>
    <w:rPr>
      <w:rFonts w:ascii="Tahoma" w:hAnsi="Tahoma" w:cs="Tahoma"/>
      <w:sz w:val="16"/>
      <w:szCs w:val="16"/>
    </w:rPr>
  </w:style>
  <w:style w:type="paragraph" w:styleId="Sidhuvud">
    <w:name w:val="header"/>
    <w:basedOn w:val="Normal"/>
    <w:link w:val="SidhuvudChar"/>
    <w:uiPriority w:val="99"/>
    <w:unhideWhenUsed/>
    <w:rsid w:val="00020D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0D51"/>
  </w:style>
  <w:style w:type="paragraph" w:styleId="Sidfot">
    <w:name w:val="footer"/>
    <w:basedOn w:val="Normal"/>
    <w:link w:val="SidfotChar"/>
    <w:uiPriority w:val="99"/>
    <w:unhideWhenUsed/>
    <w:rsid w:val="00020D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D51"/>
  </w:style>
  <w:style w:type="character" w:styleId="Sidnummer">
    <w:name w:val="page number"/>
    <w:basedOn w:val="Standardstycketeckensnitt"/>
    <w:uiPriority w:val="99"/>
    <w:semiHidden/>
    <w:unhideWhenUsed/>
    <w:rsid w:val="006762B8"/>
  </w:style>
  <w:style w:type="paragraph" w:customStyle="1" w:styleId="Rubrik10">
    <w:name w:val="Rubrik1"/>
    <w:basedOn w:val="Normal"/>
    <w:qFormat/>
    <w:rsid w:val="00930348"/>
    <w:pPr>
      <w:spacing w:after="0" w:line="360" w:lineRule="auto"/>
    </w:pPr>
    <w:rPr>
      <w:rFonts w:ascii="Calibri" w:hAnsi="Calibri" w:cs="Calibri"/>
      <w:b/>
      <w:bCs/>
      <w:color w:val="00A1BA"/>
      <w:sz w:val="60"/>
      <w:szCs w:val="60"/>
      <w:lang w:val="sv-SE"/>
    </w:rPr>
  </w:style>
  <w:style w:type="paragraph" w:customStyle="1" w:styleId="Sim-brdtext">
    <w:name w:val="Sim-brödtext"/>
    <w:basedOn w:val="Normal"/>
    <w:qFormat/>
    <w:rsid w:val="00930348"/>
    <w:pPr>
      <w:spacing w:after="0" w:line="360" w:lineRule="auto"/>
    </w:pPr>
    <w:rPr>
      <w:rFonts w:cstheme="minorHAnsi"/>
      <w:color w:val="262626" w:themeColor="text1" w:themeTint="D9"/>
      <w:sz w:val="19"/>
      <w:szCs w:val="19"/>
      <w:lang w:val="sv-SE"/>
    </w:rPr>
  </w:style>
  <w:style w:type="paragraph" w:customStyle="1" w:styleId="Rubrik20">
    <w:name w:val="Rubrik2"/>
    <w:basedOn w:val="Sim-brdtext"/>
    <w:qFormat/>
    <w:rsid w:val="00BD17E3"/>
    <w:rPr>
      <w:b/>
      <w:bCs/>
      <w:sz w:val="26"/>
      <w:szCs w:val="26"/>
    </w:rPr>
  </w:style>
  <w:style w:type="paragraph" w:customStyle="1" w:styleId="Rubrik3">
    <w:name w:val="Rubrik3"/>
    <w:basedOn w:val="Sim-brdtext"/>
    <w:qFormat/>
    <w:rsid w:val="00F34A92"/>
    <w:rPr>
      <w:b/>
      <w:bCs/>
      <w:sz w:val="24"/>
      <w:szCs w:val="24"/>
    </w:rPr>
  </w:style>
  <w:style w:type="character" w:customStyle="1" w:styleId="Rubrik1Char">
    <w:name w:val="Rubrik 1 Char"/>
    <w:basedOn w:val="Standardstycketeckensnitt"/>
    <w:link w:val="Rubrik1"/>
    <w:uiPriority w:val="9"/>
    <w:rsid w:val="006A2480"/>
    <w:rPr>
      <w:rFonts w:ascii="Arial" w:eastAsiaTheme="majorEastAsia" w:hAnsi="Arial" w:cstheme="majorBidi"/>
      <w:b/>
      <w:sz w:val="28"/>
      <w:szCs w:val="32"/>
      <w:lang w:val="sv-SE"/>
    </w:rPr>
  </w:style>
  <w:style w:type="character" w:customStyle="1" w:styleId="Rubrik2Char">
    <w:name w:val="Rubrik 2 Char"/>
    <w:basedOn w:val="Standardstycketeckensnitt"/>
    <w:link w:val="Rubrik2"/>
    <w:uiPriority w:val="9"/>
    <w:rsid w:val="006A2480"/>
    <w:rPr>
      <w:rFonts w:ascii="Arial" w:eastAsiaTheme="majorEastAsia" w:hAnsi="Arial" w:cstheme="majorBidi"/>
      <w:b/>
      <w:sz w:val="24"/>
      <w:szCs w:val="26"/>
      <w:lang w:val="sv-SE"/>
    </w:rPr>
  </w:style>
  <w:style w:type="character" w:styleId="Hyperlnk">
    <w:name w:val="Hyperlink"/>
    <w:basedOn w:val="Standardstycketeckensnitt"/>
    <w:uiPriority w:val="99"/>
    <w:unhideWhenUsed/>
    <w:rsid w:val="006A2480"/>
    <w:rPr>
      <w:color w:val="0000FF" w:themeColor="hyperlink"/>
      <w:u w:val="single"/>
    </w:rPr>
  </w:style>
  <w:style w:type="paragraph" w:styleId="Liststycke">
    <w:name w:val="List Paragraph"/>
    <w:basedOn w:val="Normal"/>
    <w:uiPriority w:val="34"/>
    <w:qFormat/>
    <w:rsid w:val="006A2480"/>
    <w:pPr>
      <w:spacing w:after="0" w:line="240" w:lineRule="auto"/>
      <w:ind w:left="720"/>
    </w:pPr>
    <w:rPr>
      <w:rFonts w:ascii="Times New Roman" w:hAnsi="Times New Roman" w:cs="Times New Roman"/>
      <w:lang w:val="sv-SE"/>
    </w:rPr>
  </w:style>
  <w:style w:type="table" w:styleId="Tabellrutnt">
    <w:name w:val="Table Grid"/>
    <w:basedOn w:val="Normaltabell"/>
    <w:rsid w:val="006A2480"/>
    <w:pPr>
      <w:spacing w:after="0" w:line="240" w:lineRule="auto"/>
    </w:pPr>
    <w:rPr>
      <w:rFonts w:ascii="Calibri" w:eastAsia="Calibri" w:hAnsi="Calibri"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6A2480"/>
    <w:pPr>
      <w:spacing w:after="0" w:line="240" w:lineRule="auto"/>
    </w:pPr>
    <w:rPr>
      <w:rFonts w:ascii="Times New Roman" w:hAnsi="Times New Roman"/>
      <w:sz w:val="20"/>
      <w:szCs w:val="20"/>
      <w:lang w:val="sv-SE"/>
    </w:rPr>
  </w:style>
  <w:style w:type="character" w:customStyle="1" w:styleId="FotnotstextChar">
    <w:name w:val="Fotnotstext Char"/>
    <w:basedOn w:val="Standardstycketeckensnitt"/>
    <w:link w:val="Fotnotstext"/>
    <w:uiPriority w:val="99"/>
    <w:semiHidden/>
    <w:rsid w:val="006A2480"/>
    <w:rPr>
      <w:rFonts w:ascii="Times New Roman" w:hAnsi="Times New Roman"/>
      <w:sz w:val="20"/>
      <w:szCs w:val="20"/>
      <w:lang w:val="sv-SE"/>
    </w:rPr>
  </w:style>
  <w:style w:type="character" w:styleId="Fotnotsreferens">
    <w:name w:val="footnote reference"/>
    <w:basedOn w:val="Standardstycketeckensnitt"/>
    <w:uiPriority w:val="99"/>
    <w:semiHidden/>
    <w:unhideWhenUsed/>
    <w:rsid w:val="006A2480"/>
    <w:rPr>
      <w:vertAlign w:val="superscript"/>
    </w:rPr>
  </w:style>
  <w:style w:type="paragraph" w:styleId="Ingetavstnd">
    <w:name w:val="No Spacing"/>
    <w:uiPriority w:val="1"/>
    <w:qFormat/>
    <w:rsid w:val="006A2480"/>
    <w:pPr>
      <w:spacing w:after="0" w:line="240" w:lineRule="auto"/>
    </w:pPr>
    <w:rPr>
      <w:rFonts w:ascii="Times New Roman" w:hAnsi="Times New Roman"/>
      <w:sz w:val="24"/>
      <w:lang w:val="sv-SE"/>
    </w:rPr>
  </w:style>
  <w:style w:type="paragraph" w:styleId="Normalwebb">
    <w:name w:val="Normal (Web)"/>
    <w:basedOn w:val="Normal"/>
    <w:uiPriority w:val="99"/>
    <w:semiHidden/>
    <w:unhideWhenUsed/>
    <w:rsid w:val="006A2480"/>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olverket.se/kompetens-och-fortbildning/lararlegitimation/regelverk/krav-for-att-fa-behorighet-1.23709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venskidrott.se/globalassets/svenskidrott/dokument/undersidor/idrottsgymnasium/samverkande-avtal-dok.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n.se/komv-folkh-gymn/studiehjalp/hur-mycket-kan-du-fa/inackorderingstillagg/utbildningar-1.284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olverket.s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venskidrott.se/globalassets/svenskidrott/dokument/undersidor/idrottsgymnasium/rfs-riktlinjer-antagning-rig.pdf" TargetMode="External"/><Relationship Id="rId1" Type="http://schemas.openxmlformats.org/officeDocument/2006/relationships/hyperlink" Target="https://www.riksdagen.se/sv/dokument-lagar/dokument/svensk-forfattningssamling/gymnasieforordning-20102039_sfs-2010-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ben\AppData\Local\Microsoft\Windows\INetCache\Content.Outlook\VHHAH992\Brevpapper_mall_Svensk%20Simidrott%20(%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6C76F5734896846B999700DDC4B7D52" ma:contentTypeVersion="1" ma:contentTypeDescription="Skapa ett nytt dokument." ma:contentTypeScope="" ma:versionID="311bd2486a21c47dc80ff3e49188254c">
  <xsd:schema xmlns:xsd="http://www.w3.org/2001/XMLSchema" xmlns:xs="http://www.w3.org/2001/XMLSchema" xmlns:p="http://schemas.microsoft.com/office/2006/metadata/properties" xmlns:ns2="b2d0a256-16aa-46c5-8a6f-5b76d775e7cd" targetNamespace="http://schemas.microsoft.com/office/2006/metadata/properties" ma:root="true" ma:fieldsID="b42faeb21ad82087b20c2d30f0687876" ns2:_="">
    <xsd:import namespace="b2d0a256-16aa-46c5-8a6f-5b76d775e7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0a256-16aa-46c5-8a6f-5b76d775e7c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2E787-5722-4DCE-AAB5-DEBFC4A68713}">
  <ds:schemaRefs>
    <ds:schemaRef ds:uri="http://schemas.openxmlformats.org/officeDocument/2006/bibliography"/>
  </ds:schemaRefs>
</ds:datastoreItem>
</file>

<file path=customXml/itemProps2.xml><?xml version="1.0" encoding="utf-8"?>
<ds:datastoreItem xmlns:ds="http://schemas.openxmlformats.org/officeDocument/2006/customXml" ds:itemID="{FE8CCDC5-8673-444B-AA8F-947EE9DB8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0a256-16aa-46c5-8a6f-5b76d775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93A36-52A2-4989-9869-CF7148CC71FA}">
  <ds:schemaRefs>
    <ds:schemaRef ds:uri="http://schemas.microsoft.com/sharepoint/v3/contenttype/forms"/>
  </ds:schemaRefs>
</ds:datastoreItem>
</file>

<file path=customXml/itemProps4.xml><?xml version="1.0" encoding="utf-8"?>
<ds:datastoreItem xmlns:ds="http://schemas.openxmlformats.org/officeDocument/2006/customXml" ds:itemID="{6C88DCE4-9C59-4229-9075-12F286674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Brevpapper_mall_Svensk Simidrott ( (003)</Template>
  <TotalTime>18</TotalTime>
  <Pages>6</Pages>
  <Words>2479</Words>
  <Characters>13140</Characters>
  <Application>Microsoft Office Word</Application>
  <DocSecurity>0</DocSecurity>
  <Lines>109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onlinecomputer</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Bengtsson (Svensk Simidrott)</dc:creator>
  <cp:keywords/>
  <dc:description/>
  <cp:lastModifiedBy>Helena Bengtsson (Svensk Simidrott)</cp:lastModifiedBy>
  <cp:revision>3</cp:revision>
  <cp:lastPrinted>2021-10-28T19:24:00Z</cp:lastPrinted>
  <dcterms:created xsi:type="dcterms:W3CDTF">2023-09-12T06:07:00Z</dcterms:created>
  <dcterms:modified xsi:type="dcterms:W3CDTF">2023-09-12T06:46:00Z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0x010100E6C76F5734896846B999700DDC4B7D52</vt:lpwstr>
  </property>
</Properties>
</file>